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2-Accent2"/>
        <w:tblW w:w="9000" w:type="dxa"/>
        <w:tblLayout w:type="fixed"/>
        <w:tblLook w:val="0600" w:firstRow="0" w:lastRow="0" w:firstColumn="0" w:lastColumn="0" w:noHBand="1" w:noVBand="1"/>
      </w:tblPr>
      <w:tblGrid>
        <w:gridCol w:w="2268"/>
        <w:gridCol w:w="6732"/>
      </w:tblGrid>
      <w:tr w:rsidR="009E630B" w:rsidRPr="009F0133" w14:paraId="46D472C4" w14:textId="77777777" w:rsidTr="006A2DB8">
        <w:tc>
          <w:tcPr>
            <w:tcW w:w="2268" w:type="dxa"/>
          </w:tcPr>
          <w:p w14:paraId="6789490E" w14:textId="77777777" w:rsidR="009E630B" w:rsidRPr="009F0133" w:rsidRDefault="00537EAA">
            <w:pPr>
              <w:widowControl w:val="0"/>
              <w:pBdr>
                <w:top w:val="nil"/>
                <w:left w:val="nil"/>
                <w:bottom w:val="nil"/>
                <w:right w:val="nil"/>
                <w:between w:val="nil"/>
              </w:pBdr>
              <w:rPr>
                <w:rFonts w:ascii="Verdana" w:hAnsi="Verdana"/>
                <w:b/>
                <w:sz w:val="18"/>
                <w:szCs w:val="18"/>
              </w:rPr>
            </w:pPr>
            <w:r w:rsidRPr="009F0133">
              <w:rPr>
                <w:rFonts w:ascii="Verdana" w:hAnsi="Verdana"/>
                <w:b/>
                <w:sz w:val="18"/>
                <w:szCs w:val="18"/>
              </w:rPr>
              <w:t xml:space="preserve">Termins </w:t>
            </w:r>
          </w:p>
        </w:tc>
        <w:tc>
          <w:tcPr>
            <w:tcW w:w="6732" w:type="dxa"/>
          </w:tcPr>
          <w:p w14:paraId="18C48950" w14:textId="77777777" w:rsidR="009E630B" w:rsidRPr="009F0133" w:rsidRDefault="00537EAA">
            <w:pPr>
              <w:widowControl w:val="0"/>
              <w:pBdr>
                <w:top w:val="nil"/>
                <w:left w:val="nil"/>
                <w:bottom w:val="nil"/>
                <w:right w:val="nil"/>
                <w:between w:val="nil"/>
              </w:pBdr>
              <w:rPr>
                <w:rFonts w:ascii="Verdana" w:hAnsi="Verdana"/>
                <w:b/>
                <w:sz w:val="18"/>
                <w:szCs w:val="18"/>
              </w:rPr>
            </w:pPr>
            <w:r w:rsidRPr="009F0133">
              <w:rPr>
                <w:rFonts w:ascii="Verdana" w:hAnsi="Verdana"/>
                <w:b/>
                <w:sz w:val="18"/>
                <w:szCs w:val="18"/>
              </w:rPr>
              <w:t>Skaidrojums</w:t>
            </w:r>
            <w:r w:rsidR="00001859" w:rsidRPr="009F0133">
              <w:rPr>
                <w:rFonts w:ascii="Verdana" w:hAnsi="Verdana"/>
                <w:b/>
                <w:sz w:val="18"/>
                <w:szCs w:val="18"/>
              </w:rPr>
              <w:t xml:space="preserve"> (latviešu/angļu val.)</w:t>
            </w:r>
          </w:p>
        </w:tc>
      </w:tr>
      <w:tr w:rsidR="009E630B" w:rsidRPr="009F0133" w14:paraId="2ADEA919" w14:textId="77777777" w:rsidTr="006A2DB8">
        <w:trPr>
          <w:trHeight w:val="5181"/>
        </w:trPr>
        <w:tc>
          <w:tcPr>
            <w:tcW w:w="2268" w:type="dxa"/>
          </w:tcPr>
          <w:p w14:paraId="5F43A597" w14:textId="77777777" w:rsidR="009E630B" w:rsidRPr="009F0133" w:rsidRDefault="00537EAA" w:rsidP="00001859">
            <w:pPr>
              <w:widowControl w:val="0"/>
              <w:pBdr>
                <w:top w:val="nil"/>
                <w:left w:val="nil"/>
                <w:bottom w:val="nil"/>
                <w:right w:val="nil"/>
                <w:between w:val="nil"/>
              </w:pBdr>
              <w:spacing w:before="240"/>
              <w:rPr>
                <w:rFonts w:ascii="Verdana" w:hAnsi="Verdana"/>
                <w:b/>
                <w:sz w:val="18"/>
                <w:szCs w:val="18"/>
              </w:rPr>
            </w:pPr>
            <w:r w:rsidRPr="009F0133">
              <w:rPr>
                <w:rFonts w:ascii="Verdana" w:hAnsi="Verdana"/>
                <w:b/>
                <w:sz w:val="18"/>
                <w:szCs w:val="18"/>
              </w:rPr>
              <w:t>Viedā specializācija</w:t>
            </w:r>
          </w:p>
          <w:p w14:paraId="41346A45" w14:textId="77777777" w:rsidR="009E630B" w:rsidRPr="009F0133" w:rsidRDefault="00537EAA" w:rsidP="00BC40B3">
            <w:pPr>
              <w:widowControl w:val="0"/>
              <w:pBdr>
                <w:top w:val="nil"/>
                <w:left w:val="nil"/>
                <w:bottom w:val="nil"/>
                <w:right w:val="nil"/>
                <w:between w:val="nil"/>
              </w:pBdr>
              <w:spacing w:before="240"/>
              <w:rPr>
                <w:rFonts w:ascii="Verdana" w:hAnsi="Verdana"/>
                <w:i/>
                <w:sz w:val="18"/>
                <w:szCs w:val="18"/>
                <w:lang w:val="en-GB"/>
              </w:rPr>
            </w:pPr>
            <w:r w:rsidRPr="009F0133">
              <w:rPr>
                <w:rFonts w:ascii="Verdana" w:hAnsi="Verdana"/>
                <w:i/>
                <w:sz w:val="18"/>
                <w:szCs w:val="18"/>
                <w:lang w:val="en-GB"/>
              </w:rPr>
              <w:t>Smart specialization</w:t>
            </w:r>
          </w:p>
        </w:tc>
        <w:tc>
          <w:tcPr>
            <w:tcW w:w="6732" w:type="dxa"/>
          </w:tcPr>
          <w:p w14:paraId="12DDBFCC" w14:textId="77777777" w:rsidR="004E04CC" w:rsidRPr="009F0133" w:rsidRDefault="00537EAA" w:rsidP="009729FB">
            <w:pPr>
              <w:widowControl w:val="0"/>
              <w:pBdr>
                <w:top w:val="nil"/>
                <w:left w:val="nil"/>
                <w:bottom w:val="nil"/>
                <w:right w:val="nil"/>
                <w:between w:val="nil"/>
              </w:pBdr>
              <w:spacing w:before="240"/>
              <w:rPr>
                <w:rFonts w:ascii="Verdana" w:hAnsi="Verdana"/>
                <w:sz w:val="18"/>
                <w:szCs w:val="18"/>
                <w:lang w:val="lv-LV"/>
              </w:rPr>
            </w:pPr>
            <w:r w:rsidRPr="009F0133">
              <w:rPr>
                <w:rFonts w:ascii="Verdana" w:hAnsi="Verdana"/>
                <w:b/>
                <w:sz w:val="18"/>
                <w:szCs w:val="18"/>
                <w:lang w:val="lv-LV"/>
              </w:rPr>
              <w:t>Viedā specializācija</w:t>
            </w:r>
            <w:r w:rsidRPr="009F0133">
              <w:rPr>
                <w:rFonts w:ascii="Verdana" w:hAnsi="Verdana"/>
                <w:sz w:val="18"/>
                <w:szCs w:val="18"/>
                <w:lang w:val="lv-LV"/>
              </w:rPr>
              <w:t xml:space="preserve"> ir konkrētajai vietai specifiska politikas plānošanas pieeja:</w:t>
            </w:r>
          </w:p>
          <w:p w14:paraId="6013A9B5" w14:textId="320923B7" w:rsidR="004E04CC" w:rsidRPr="009F0133" w:rsidRDefault="00F31062" w:rsidP="004E04CC">
            <w:pPr>
              <w:pStyle w:val="ListParagraph"/>
              <w:widowControl w:val="0"/>
              <w:numPr>
                <w:ilvl w:val="0"/>
                <w:numId w:val="2"/>
              </w:numPr>
              <w:pBdr>
                <w:top w:val="nil"/>
                <w:left w:val="nil"/>
                <w:bottom w:val="nil"/>
                <w:right w:val="nil"/>
                <w:between w:val="nil"/>
              </w:pBdr>
              <w:rPr>
                <w:rFonts w:ascii="Verdana" w:hAnsi="Verdana"/>
                <w:sz w:val="18"/>
                <w:szCs w:val="18"/>
                <w:lang w:val="lv-LV"/>
              </w:rPr>
            </w:pPr>
            <w:r w:rsidRPr="009F0133">
              <w:rPr>
                <w:rFonts w:ascii="Verdana" w:hAnsi="Verdana"/>
                <w:sz w:val="18"/>
                <w:szCs w:val="18"/>
                <w:lang w:val="lv-LV"/>
              </w:rPr>
              <w:t>k</w:t>
            </w:r>
            <w:r w:rsidR="00537EAA" w:rsidRPr="009F0133">
              <w:rPr>
                <w:rFonts w:ascii="Verdana" w:hAnsi="Verdana"/>
                <w:sz w:val="18"/>
                <w:szCs w:val="18"/>
                <w:lang w:val="lv-LV"/>
              </w:rPr>
              <w:t>o raksturo stratēģisku politikas intervences jomu noteikšana un efektīvi uzraudzības mehānismi;</w:t>
            </w:r>
          </w:p>
          <w:p w14:paraId="6D627239" w14:textId="1564A405" w:rsidR="004E04CC" w:rsidRPr="009F0133" w:rsidRDefault="00F31062" w:rsidP="004E04CC">
            <w:pPr>
              <w:pStyle w:val="ListParagraph"/>
              <w:widowControl w:val="0"/>
              <w:numPr>
                <w:ilvl w:val="0"/>
                <w:numId w:val="2"/>
              </w:numPr>
              <w:pBdr>
                <w:top w:val="nil"/>
                <w:left w:val="nil"/>
                <w:bottom w:val="nil"/>
                <w:right w:val="nil"/>
                <w:between w:val="nil"/>
              </w:pBdr>
              <w:rPr>
                <w:rFonts w:ascii="Verdana" w:hAnsi="Verdana"/>
                <w:sz w:val="18"/>
                <w:szCs w:val="18"/>
                <w:lang w:val="lv-LV"/>
              </w:rPr>
            </w:pPr>
            <w:r w:rsidRPr="009F0133">
              <w:rPr>
                <w:rFonts w:ascii="Verdana" w:hAnsi="Verdana"/>
                <w:sz w:val="18"/>
                <w:szCs w:val="18"/>
                <w:lang w:val="lv-LV"/>
              </w:rPr>
              <w:t>k</w:t>
            </w:r>
            <w:r w:rsidR="00537EAA" w:rsidRPr="009F0133">
              <w:rPr>
                <w:rFonts w:ascii="Verdana" w:hAnsi="Verdana"/>
                <w:sz w:val="18"/>
                <w:szCs w:val="18"/>
                <w:lang w:val="lv-LV"/>
              </w:rPr>
              <w:t xml:space="preserve">as pamatojas uz ekonomikas stipro pušu un potenciāla analīzi un uzņēmējdarbības atklājuma procesu </w:t>
            </w:r>
            <w:r w:rsidR="00537EAA" w:rsidRPr="009F0133">
              <w:rPr>
                <w:rFonts w:ascii="Verdana" w:hAnsi="Verdana"/>
                <w:i/>
                <w:sz w:val="18"/>
                <w:szCs w:val="18"/>
                <w:lang w:val="lv-LV"/>
              </w:rPr>
              <w:t>(</w:t>
            </w:r>
            <w:proofErr w:type="spellStart"/>
            <w:r w:rsidR="00537EAA" w:rsidRPr="009F0133">
              <w:rPr>
                <w:rFonts w:ascii="Verdana" w:hAnsi="Verdana"/>
                <w:i/>
                <w:sz w:val="18"/>
                <w:szCs w:val="18"/>
                <w:lang w:val="lv-LV"/>
              </w:rPr>
              <w:t>entrepreneurial</w:t>
            </w:r>
            <w:proofErr w:type="spellEnd"/>
            <w:r w:rsidR="00537EAA" w:rsidRPr="009F0133">
              <w:rPr>
                <w:rFonts w:ascii="Verdana" w:hAnsi="Verdana"/>
                <w:i/>
                <w:sz w:val="18"/>
                <w:szCs w:val="18"/>
                <w:lang w:val="lv-LV"/>
              </w:rPr>
              <w:t xml:space="preserve"> </w:t>
            </w:r>
            <w:proofErr w:type="spellStart"/>
            <w:r w:rsidR="00537EAA" w:rsidRPr="009F0133">
              <w:rPr>
                <w:rFonts w:ascii="Verdana" w:hAnsi="Verdana"/>
                <w:i/>
                <w:sz w:val="18"/>
                <w:szCs w:val="18"/>
                <w:lang w:val="lv-LV"/>
              </w:rPr>
              <w:t>discovery</w:t>
            </w:r>
            <w:proofErr w:type="spellEnd"/>
            <w:r w:rsidR="00537EAA" w:rsidRPr="009F0133">
              <w:rPr>
                <w:rFonts w:ascii="Verdana" w:hAnsi="Verdana"/>
                <w:i/>
                <w:sz w:val="18"/>
                <w:szCs w:val="18"/>
                <w:lang w:val="lv-LV"/>
              </w:rPr>
              <w:t xml:space="preserve"> process</w:t>
            </w:r>
            <w:r w:rsidR="000E0596" w:rsidRPr="009F0133">
              <w:rPr>
                <w:rFonts w:ascii="Verdana" w:hAnsi="Verdana"/>
                <w:i/>
                <w:sz w:val="18"/>
                <w:szCs w:val="18"/>
                <w:lang w:val="lv-LV"/>
              </w:rPr>
              <w:t xml:space="preserve"> EDP</w:t>
            </w:r>
            <w:r w:rsidR="00537EAA" w:rsidRPr="009F0133">
              <w:rPr>
                <w:rFonts w:ascii="Verdana" w:hAnsi="Verdana"/>
                <w:i/>
                <w:sz w:val="18"/>
                <w:szCs w:val="18"/>
                <w:lang w:val="lv-LV"/>
              </w:rPr>
              <w:t>)</w:t>
            </w:r>
            <w:r w:rsidR="00537EAA" w:rsidRPr="009F0133">
              <w:rPr>
                <w:rFonts w:ascii="Verdana" w:hAnsi="Verdana"/>
                <w:sz w:val="18"/>
                <w:szCs w:val="18"/>
                <w:lang w:val="lv-LV"/>
              </w:rPr>
              <w:t xml:space="preserve"> ar plašu iesaistīto pušu līdzdalību;</w:t>
            </w:r>
          </w:p>
          <w:p w14:paraId="74C4DD01" w14:textId="4E7857B5" w:rsidR="004E04CC" w:rsidRPr="009F0133" w:rsidRDefault="00F31062" w:rsidP="004E04CC">
            <w:pPr>
              <w:pStyle w:val="ListParagraph"/>
              <w:widowControl w:val="0"/>
              <w:numPr>
                <w:ilvl w:val="0"/>
                <w:numId w:val="2"/>
              </w:numPr>
              <w:pBdr>
                <w:top w:val="nil"/>
                <w:left w:val="nil"/>
                <w:bottom w:val="nil"/>
                <w:right w:val="nil"/>
                <w:between w:val="nil"/>
              </w:pBdr>
              <w:rPr>
                <w:rFonts w:ascii="Verdana" w:hAnsi="Verdana"/>
                <w:sz w:val="18"/>
                <w:szCs w:val="18"/>
                <w:lang w:val="lv-LV"/>
              </w:rPr>
            </w:pPr>
            <w:r w:rsidRPr="009F0133">
              <w:rPr>
                <w:rFonts w:ascii="Verdana" w:hAnsi="Verdana"/>
                <w:sz w:val="18"/>
                <w:szCs w:val="18"/>
                <w:lang w:val="lv-LV"/>
              </w:rPr>
              <w:t>k</w:t>
            </w:r>
            <w:r w:rsidR="00537EAA" w:rsidRPr="009F0133">
              <w:rPr>
                <w:rFonts w:ascii="Verdana" w:hAnsi="Verdana"/>
                <w:sz w:val="18"/>
                <w:szCs w:val="18"/>
                <w:lang w:val="lv-LV"/>
              </w:rPr>
              <w:t>as ir uz āru vērsta, ar plašu skatu uz inovācijām;</w:t>
            </w:r>
          </w:p>
          <w:p w14:paraId="3F5F6992" w14:textId="52824FCD" w:rsidR="009E630B" w:rsidRPr="009F0133" w:rsidRDefault="002E167F" w:rsidP="004E04CC">
            <w:pPr>
              <w:pStyle w:val="ListParagraph"/>
              <w:widowControl w:val="0"/>
              <w:numPr>
                <w:ilvl w:val="0"/>
                <w:numId w:val="2"/>
              </w:numPr>
              <w:pBdr>
                <w:top w:val="nil"/>
                <w:left w:val="nil"/>
                <w:bottom w:val="nil"/>
                <w:right w:val="nil"/>
                <w:between w:val="nil"/>
              </w:pBdr>
              <w:rPr>
                <w:rFonts w:ascii="Verdana" w:hAnsi="Verdana"/>
                <w:sz w:val="18"/>
                <w:szCs w:val="18"/>
                <w:lang w:val="lv-LV"/>
              </w:rPr>
            </w:pPr>
            <w:r>
              <w:rPr>
                <w:rFonts w:ascii="Verdana" w:hAnsi="Verdana"/>
                <w:sz w:val="18"/>
                <w:szCs w:val="18"/>
                <w:lang w:val="lv-LV"/>
              </w:rPr>
              <w:t xml:space="preserve">un </w:t>
            </w:r>
            <w:r w:rsidR="00F31062" w:rsidRPr="009F0133">
              <w:rPr>
                <w:rFonts w:ascii="Verdana" w:hAnsi="Verdana"/>
                <w:sz w:val="18"/>
                <w:szCs w:val="18"/>
                <w:lang w:val="lv-LV"/>
              </w:rPr>
              <w:t>k</w:t>
            </w:r>
            <w:r w:rsidR="00537EAA" w:rsidRPr="009F0133">
              <w:rPr>
                <w:rFonts w:ascii="Verdana" w:hAnsi="Verdana"/>
                <w:sz w:val="18"/>
                <w:szCs w:val="18"/>
                <w:lang w:val="lv-LV"/>
              </w:rPr>
              <w:t>as ietver tehnoloģiju</w:t>
            </w:r>
            <w:r w:rsidR="00DE382D" w:rsidRPr="009F0133">
              <w:rPr>
                <w:rFonts w:ascii="Verdana" w:hAnsi="Verdana"/>
                <w:sz w:val="18"/>
                <w:szCs w:val="18"/>
                <w:lang w:val="lv-LV"/>
              </w:rPr>
              <w:t xml:space="preserve"> </w:t>
            </w:r>
            <w:r w:rsidR="00537EAA" w:rsidRPr="009F0133">
              <w:rPr>
                <w:rFonts w:ascii="Verdana" w:hAnsi="Verdana"/>
                <w:sz w:val="18"/>
                <w:szCs w:val="18"/>
                <w:lang w:val="lv-LV"/>
              </w:rPr>
              <w:t xml:space="preserve">virzītu attīstību, bet ne tikai. </w:t>
            </w:r>
          </w:p>
          <w:p w14:paraId="4A61E9C5" w14:textId="77777777" w:rsidR="004E04CC" w:rsidRPr="00C34D3C" w:rsidRDefault="004E04CC">
            <w:pPr>
              <w:widowControl w:val="0"/>
              <w:pBdr>
                <w:top w:val="nil"/>
                <w:left w:val="nil"/>
                <w:bottom w:val="nil"/>
                <w:right w:val="nil"/>
                <w:between w:val="nil"/>
              </w:pBdr>
              <w:rPr>
                <w:rFonts w:ascii="Verdana" w:hAnsi="Verdana"/>
                <w:b/>
                <w:sz w:val="18"/>
                <w:szCs w:val="18"/>
                <w:lang w:val="lv-LV"/>
              </w:rPr>
            </w:pPr>
          </w:p>
          <w:p w14:paraId="2951FB57" w14:textId="77777777" w:rsidR="009E630B" w:rsidRPr="009F0133" w:rsidRDefault="00537EAA">
            <w:pPr>
              <w:widowControl w:val="0"/>
              <w:pBdr>
                <w:top w:val="nil"/>
                <w:left w:val="nil"/>
                <w:bottom w:val="nil"/>
                <w:right w:val="nil"/>
                <w:between w:val="nil"/>
              </w:pBdr>
              <w:rPr>
                <w:rFonts w:ascii="Verdana" w:hAnsi="Verdana"/>
                <w:i/>
                <w:sz w:val="18"/>
                <w:szCs w:val="18"/>
                <w:lang w:val="en-US"/>
              </w:rPr>
            </w:pPr>
            <w:r w:rsidRPr="009F0133">
              <w:rPr>
                <w:rFonts w:ascii="Verdana" w:hAnsi="Verdana"/>
                <w:i/>
                <w:sz w:val="18"/>
                <w:szCs w:val="18"/>
                <w:lang w:val="en-US"/>
              </w:rPr>
              <w:t xml:space="preserve">Smart </w:t>
            </w:r>
            <w:r w:rsidR="00585963" w:rsidRPr="009F0133">
              <w:rPr>
                <w:rFonts w:ascii="Verdana" w:hAnsi="Verdana"/>
                <w:i/>
                <w:sz w:val="18"/>
                <w:szCs w:val="18"/>
                <w:lang w:val="en-US"/>
              </w:rPr>
              <w:t>Specialization</w:t>
            </w:r>
            <w:r w:rsidRPr="009F0133">
              <w:rPr>
                <w:rFonts w:ascii="Verdana" w:hAnsi="Verdana"/>
                <w:b/>
                <w:i/>
                <w:sz w:val="18"/>
                <w:szCs w:val="18"/>
                <w:lang w:val="en-US"/>
              </w:rPr>
              <w:t xml:space="preserve"> </w:t>
            </w:r>
            <w:r w:rsidRPr="009F0133">
              <w:rPr>
                <w:rFonts w:ascii="Verdana" w:hAnsi="Verdana"/>
                <w:i/>
                <w:sz w:val="18"/>
                <w:szCs w:val="18"/>
                <w:lang w:val="en-US"/>
              </w:rPr>
              <w:t xml:space="preserve">is a place-based approach </w:t>
            </w:r>
            <w:r w:rsidR="000E0596" w:rsidRPr="009F0133">
              <w:rPr>
                <w:rFonts w:ascii="Verdana" w:hAnsi="Verdana"/>
                <w:i/>
                <w:sz w:val="18"/>
                <w:szCs w:val="18"/>
                <w:lang w:val="en-US"/>
              </w:rPr>
              <w:t>characterized</w:t>
            </w:r>
            <w:r w:rsidRPr="009F0133">
              <w:rPr>
                <w:rFonts w:ascii="Verdana" w:hAnsi="Verdana"/>
                <w:i/>
                <w:sz w:val="18"/>
                <w:szCs w:val="18"/>
                <w:lang w:val="en-US"/>
              </w:rPr>
              <w:t xml:space="preserve"> by the identification of strategic areas for intervention based both on the analysis of the strengths and potential of the economy and on an Entrepreneurial Discovery Process (EDP) with wide stakeholder involvement. It is outward-looking and embraces a broad view of innovation including but certainly not limited to technology-driven approaches, supported by effective monitoring mechanisms.</w:t>
            </w:r>
          </w:p>
          <w:p w14:paraId="06CABDC3" w14:textId="5E79F6D3" w:rsidR="00001859" w:rsidRPr="009F0133" w:rsidRDefault="00537EAA" w:rsidP="009729FB">
            <w:pPr>
              <w:widowControl w:val="0"/>
              <w:pBdr>
                <w:top w:val="nil"/>
                <w:left w:val="nil"/>
                <w:bottom w:val="nil"/>
                <w:right w:val="nil"/>
                <w:between w:val="nil"/>
              </w:pBdr>
              <w:rPr>
                <w:rFonts w:ascii="Verdana" w:hAnsi="Verdana"/>
                <w:sz w:val="18"/>
                <w:szCs w:val="18"/>
                <w:lang w:val="en-US"/>
              </w:rPr>
            </w:pPr>
            <w:r w:rsidRPr="009F0133">
              <w:rPr>
                <w:rFonts w:ascii="Verdana" w:hAnsi="Verdana"/>
                <w:i/>
                <w:sz w:val="18"/>
                <w:szCs w:val="18"/>
                <w:lang w:val="en-US"/>
              </w:rPr>
              <w:t xml:space="preserve">Smart </w:t>
            </w:r>
            <w:r w:rsidR="00585963" w:rsidRPr="009F0133">
              <w:rPr>
                <w:rFonts w:ascii="Verdana" w:hAnsi="Verdana"/>
                <w:i/>
                <w:sz w:val="18"/>
                <w:szCs w:val="18"/>
                <w:lang w:val="en-US"/>
              </w:rPr>
              <w:t>specialization</w:t>
            </w:r>
            <w:r w:rsidRPr="009F0133">
              <w:rPr>
                <w:rFonts w:ascii="Verdana" w:hAnsi="Verdana"/>
                <w:i/>
                <w:sz w:val="18"/>
                <w:szCs w:val="18"/>
                <w:lang w:val="en-US"/>
              </w:rPr>
              <w:t xml:space="preserve"> strategy means</w:t>
            </w:r>
            <w:r w:rsidR="002A724F" w:rsidRPr="009F0133">
              <w:rPr>
                <w:rFonts w:ascii="Verdana" w:hAnsi="Verdana"/>
                <w:i/>
                <w:sz w:val="18"/>
                <w:szCs w:val="18"/>
                <w:lang w:val="en-US"/>
              </w:rPr>
              <w:t xml:space="preserve"> </w:t>
            </w:r>
            <w:r w:rsidRPr="009F0133">
              <w:rPr>
                <w:rFonts w:ascii="Verdana" w:hAnsi="Verdana"/>
                <w:i/>
                <w:sz w:val="18"/>
                <w:szCs w:val="18"/>
                <w:lang w:val="en-US"/>
              </w:rPr>
              <w:t>putting in place a process whereby such a dynamics of new specialty development can be facilitated thanks to targeted government intervention in order to support in a preferential way the most promising new activities in terms of discovery, spillovers and structural changes</w:t>
            </w:r>
            <w:r w:rsidR="007C7364" w:rsidRPr="009F0133">
              <w:rPr>
                <w:rFonts w:ascii="Verdana" w:hAnsi="Verdana"/>
                <w:i/>
                <w:sz w:val="18"/>
                <w:szCs w:val="18"/>
                <w:lang w:val="en-US"/>
              </w:rPr>
              <w:t xml:space="preserve">. </w:t>
            </w:r>
            <w:r w:rsidRPr="009F0133">
              <w:rPr>
                <w:rFonts w:ascii="Verdana" w:hAnsi="Verdana"/>
                <w:i/>
                <w:sz w:val="18"/>
                <w:szCs w:val="18"/>
                <w:lang w:val="en-US"/>
              </w:rPr>
              <w:br/>
            </w:r>
            <w:r w:rsidR="007C0A8A" w:rsidRPr="009F0133">
              <w:rPr>
                <w:rFonts w:ascii="Verdana" w:hAnsi="Verdana"/>
                <w:i/>
                <w:sz w:val="18"/>
                <w:szCs w:val="18"/>
                <w:lang w:val="en-US"/>
              </w:rPr>
              <w:t>Read more here:</w:t>
            </w:r>
            <w:r w:rsidR="007C0A8A" w:rsidRPr="009F0133">
              <w:rPr>
                <w:rFonts w:ascii="Verdana" w:hAnsi="Verdana"/>
                <w:sz w:val="18"/>
                <w:szCs w:val="18"/>
                <w:lang w:val="en-US"/>
              </w:rPr>
              <w:t xml:space="preserve"> </w:t>
            </w:r>
            <w:hyperlink r:id="rId12" w:history="1">
              <w:r w:rsidR="007C0A8A" w:rsidRPr="009F0133">
                <w:rPr>
                  <w:rStyle w:val="Hyperlink"/>
                  <w:rFonts w:ascii="Verdana" w:hAnsi="Verdana"/>
                  <w:sz w:val="18"/>
                  <w:szCs w:val="18"/>
                  <w:lang w:val="en-US"/>
                </w:rPr>
                <w:t>http://s3platform.jrc.ec.europa.eu/what-is-smart-specialisation-</w:t>
              </w:r>
            </w:hyperlink>
          </w:p>
        </w:tc>
      </w:tr>
      <w:tr w:rsidR="009E630B" w:rsidRPr="009F0133" w14:paraId="3B02BCA1" w14:textId="77777777" w:rsidTr="006A2DB8">
        <w:trPr>
          <w:trHeight w:val="3249"/>
        </w:trPr>
        <w:tc>
          <w:tcPr>
            <w:tcW w:w="2268" w:type="dxa"/>
          </w:tcPr>
          <w:p w14:paraId="3B09F3F5" w14:textId="77777777" w:rsidR="009E630B" w:rsidRPr="009F0133" w:rsidRDefault="00537EAA" w:rsidP="009729FB">
            <w:pPr>
              <w:widowControl w:val="0"/>
              <w:pBdr>
                <w:top w:val="nil"/>
                <w:left w:val="nil"/>
                <w:bottom w:val="nil"/>
                <w:right w:val="nil"/>
                <w:between w:val="nil"/>
              </w:pBdr>
              <w:spacing w:before="240"/>
              <w:rPr>
                <w:rFonts w:ascii="Verdana" w:hAnsi="Verdana"/>
                <w:b/>
                <w:sz w:val="18"/>
                <w:szCs w:val="18"/>
              </w:rPr>
            </w:pPr>
            <w:r w:rsidRPr="009F0133">
              <w:rPr>
                <w:rFonts w:ascii="Verdana" w:hAnsi="Verdana"/>
                <w:b/>
                <w:sz w:val="18"/>
                <w:szCs w:val="18"/>
              </w:rPr>
              <w:t>Viedās specializācijas jomas</w:t>
            </w:r>
          </w:p>
          <w:p w14:paraId="07E0C99C" w14:textId="77777777" w:rsidR="009E630B" w:rsidRPr="009F0133" w:rsidRDefault="00537EAA" w:rsidP="00BC40B3">
            <w:pPr>
              <w:widowControl w:val="0"/>
              <w:spacing w:before="240"/>
              <w:rPr>
                <w:rFonts w:ascii="Verdana" w:hAnsi="Verdana"/>
                <w:sz w:val="18"/>
                <w:szCs w:val="18"/>
                <w:lang w:val="en-GB"/>
              </w:rPr>
            </w:pPr>
            <w:r w:rsidRPr="009F0133">
              <w:rPr>
                <w:rFonts w:ascii="Verdana" w:hAnsi="Verdana"/>
                <w:i/>
                <w:sz w:val="18"/>
                <w:szCs w:val="18"/>
                <w:lang w:val="en-GB"/>
              </w:rPr>
              <w:t>Smart specialization areas</w:t>
            </w:r>
          </w:p>
          <w:p w14:paraId="55A323B6" w14:textId="77777777" w:rsidR="009E630B" w:rsidRPr="009F0133" w:rsidRDefault="009E630B">
            <w:pPr>
              <w:widowControl w:val="0"/>
              <w:pBdr>
                <w:top w:val="nil"/>
                <w:left w:val="nil"/>
                <w:bottom w:val="nil"/>
                <w:right w:val="nil"/>
                <w:between w:val="nil"/>
              </w:pBdr>
              <w:rPr>
                <w:rFonts w:ascii="Verdana" w:hAnsi="Verdana"/>
                <w:sz w:val="18"/>
                <w:szCs w:val="18"/>
              </w:rPr>
            </w:pPr>
          </w:p>
        </w:tc>
        <w:tc>
          <w:tcPr>
            <w:tcW w:w="6732" w:type="dxa"/>
          </w:tcPr>
          <w:p w14:paraId="6E9DE63D" w14:textId="70F11881" w:rsidR="009E630B" w:rsidRPr="009F0133" w:rsidRDefault="00537EAA" w:rsidP="009729FB">
            <w:pPr>
              <w:widowControl w:val="0"/>
              <w:pBdr>
                <w:top w:val="nil"/>
                <w:left w:val="nil"/>
                <w:bottom w:val="nil"/>
                <w:right w:val="nil"/>
                <w:between w:val="nil"/>
              </w:pBdr>
              <w:spacing w:before="240"/>
              <w:jc w:val="both"/>
              <w:rPr>
                <w:rFonts w:ascii="Verdana" w:hAnsi="Verdana"/>
                <w:sz w:val="18"/>
                <w:szCs w:val="18"/>
              </w:rPr>
            </w:pPr>
            <w:r w:rsidRPr="009F0133">
              <w:rPr>
                <w:rFonts w:ascii="Verdana" w:hAnsi="Verdana"/>
                <w:sz w:val="18"/>
                <w:szCs w:val="18"/>
              </w:rPr>
              <w:t>Piecas viedās specializācijas jomas 1) identificē un nodrošina zināšanu attīstību zinātņu apakšnozarēs, kurām ir vislielākais potenciāls tautsaimniecības konkurētspējas uzlabošanā; un 2) nodrošina platformu diskusijām starp nozaru un pētniecības organizācijām un augstskolām publisko ieguldījumu prioritāšu noteikšanai, instrumentu izstrādei un progresa monitoringam</w:t>
            </w:r>
            <w:r w:rsidR="00F21012" w:rsidRPr="009F0133">
              <w:rPr>
                <w:rFonts w:ascii="Verdana" w:hAnsi="Verdana"/>
                <w:sz w:val="18"/>
                <w:szCs w:val="18"/>
              </w:rPr>
              <w:t>:</w:t>
            </w:r>
          </w:p>
          <w:p w14:paraId="3A96AC4B" w14:textId="77777777" w:rsidR="009E630B" w:rsidRPr="009F0133" w:rsidRDefault="00537EAA" w:rsidP="00001859">
            <w:pPr>
              <w:pStyle w:val="ListParagraph"/>
              <w:widowControl w:val="0"/>
              <w:numPr>
                <w:ilvl w:val="0"/>
                <w:numId w:val="4"/>
              </w:numPr>
              <w:pBdr>
                <w:top w:val="nil"/>
                <w:left w:val="nil"/>
                <w:bottom w:val="nil"/>
                <w:right w:val="nil"/>
                <w:between w:val="nil"/>
              </w:pBdr>
              <w:jc w:val="both"/>
              <w:rPr>
                <w:rFonts w:ascii="Verdana" w:hAnsi="Verdana"/>
                <w:sz w:val="18"/>
                <w:szCs w:val="18"/>
              </w:rPr>
            </w:pPr>
            <w:r w:rsidRPr="009F0133">
              <w:rPr>
                <w:rFonts w:ascii="Verdana" w:hAnsi="Verdana"/>
                <w:sz w:val="18"/>
                <w:szCs w:val="18"/>
              </w:rPr>
              <w:t>Zināšanu</w:t>
            </w:r>
            <w:r w:rsidR="000E0596" w:rsidRPr="009F0133">
              <w:rPr>
                <w:rFonts w:ascii="Verdana" w:hAnsi="Verdana"/>
                <w:sz w:val="18"/>
                <w:szCs w:val="18"/>
              </w:rPr>
              <w:t xml:space="preserve"> </w:t>
            </w:r>
            <w:r w:rsidRPr="009F0133">
              <w:rPr>
                <w:rFonts w:ascii="Verdana" w:hAnsi="Verdana"/>
                <w:sz w:val="18"/>
                <w:szCs w:val="18"/>
              </w:rPr>
              <w:t xml:space="preserve">ietilpīga </w:t>
            </w:r>
            <w:proofErr w:type="spellStart"/>
            <w:r w:rsidRPr="009F0133">
              <w:rPr>
                <w:rFonts w:ascii="Verdana" w:hAnsi="Verdana"/>
                <w:sz w:val="18"/>
                <w:szCs w:val="18"/>
              </w:rPr>
              <w:t>bioekonomika</w:t>
            </w:r>
            <w:proofErr w:type="spellEnd"/>
            <w:r w:rsidRPr="009F0133">
              <w:rPr>
                <w:rFonts w:ascii="Verdana" w:hAnsi="Verdana"/>
                <w:sz w:val="18"/>
                <w:szCs w:val="18"/>
              </w:rPr>
              <w:t xml:space="preserve"> </w:t>
            </w:r>
            <w:r w:rsidRPr="009F0133">
              <w:rPr>
                <w:rFonts w:ascii="Verdana" w:hAnsi="Verdana"/>
                <w:i/>
                <w:sz w:val="18"/>
                <w:szCs w:val="18"/>
                <w:lang w:val="en-GB"/>
              </w:rPr>
              <w:t>(Knowledge</w:t>
            </w:r>
            <w:r w:rsidR="000E0596" w:rsidRPr="009F0133">
              <w:rPr>
                <w:rFonts w:ascii="Verdana" w:hAnsi="Verdana"/>
                <w:i/>
                <w:sz w:val="18"/>
                <w:szCs w:val="18"/>
                <w:lang w:val="en-GB"/>
              </w:rPr>
              <w:t xml:space="preserve"> </w:t>
            </w:r>
            <w:r w:rsidRPr="009F0133">
              <w:rPr>
                <w:rFonts w:ascii="Verdana" w:hAnsi="Verdana"/>
                <w:i/>
                <w:sz w:val="18"/>
                <w:szCs w:val="18"/>
                <w:lang w:val="en-GB"/>
              </w:rPr>
              <w:t xml:space="preserve">intensive </w:t>
            </w:r>
            <w:proofErr w:type="spellStart"/>
            <w:r w:rsidRPr="009F0133">
              <w:rPr>
                <w:rFonts w:ascii="Verdana" w:hAnsi="Verdana"/>
                <w:i/>
                <w:sz w:val="18"/>
                <w:szCs w:val="18"/>
                <w:lang w:val="en-GB"/>
              </w:rPr>
              <w:t>bioeconomics</w:t>
            </w:r>
            <w:proofErr w:type="spellEnd"/>
            <w:r w:rsidRPr="009F0133">
              <w:rPr>
                <w:rFonts w:ascii="Verdana" w:hAnsi="Verdana"/>
                <w:i/>
                <w:sz w:val="18"/>
                <w:szCs w:val="18"/>
                <w:lang w:val="en-GB"/>
              </w:rPr>
              <w:t>)</w:t>
            </w:r>
          </w:p>
          <w:p w14:paraId="415C9615" w14:textId="77777777" w:rsidR="00001859" w:rsidRPr="009F0133" w:rsidRDefault="00537EAA" w:rsidP="00001859">
            <w:pPr>
              <w:pStyle w:val="ListParagraph"/>
              <w:widowControl w:val="0"/>
              <w:numPr>
                <w:ilvl w:val="0"/>
                <w:numId w:val="4"/>
              </w:numPr>
              <w:pBdr>
                <w:top w:val="nil"/>
                <w:left w:val="nil"/>
                <w:bottom w:val="nil"/>
                <w:right w:val="nil"/>
                <w:between w:val="nil"/>
              </w:pBdr>
              <w:jc w:val="both"/>
              <w:rPr>
                <w:rFonts w:ascii="Verdana" w:hAnsi="Verdana"/>
                <w:sz w:val="18"/>
                <w:szCs w:val="18"/>
              </w:rPr>
            </w:pPr>
            <w:r w:rsidRPr="009F0133">
              <w:rPr>
                <w:rFonts w:ascii="Verdana" w:hAnsi="Verdana"/>
                <w:sz w:val="18"/>
                <w:szCs w:val="18"/>
              </w:rPr>
              <w:t xml:space="preserve">Biomedicīna, medicīnas tehnoloģijas, </w:t>
            </w:r>
            <w:proofErr w:type="spellStart"/>
            <w:r w:rsidRPr="009F0133">
              <w:rPr>
                <w:rFonts w:ascii="Verdana" w:hAnsi="Verdana"/>
                <w:sz w:val="18"/>
                <w:szCs w:val="18"/>
              </w:rPr>
              <w:t>biofarmācija</w:t>
            </w:r>
            <w:proofErr w:type="spellEnd"/>
            <w:r w:rsidRPr="009F0133">
              <w:rPr>
                <w:rFonts w:ascii="Verdana" w:hAnsi="Verdana"/>
                <w:sz w:val="18"/>
                <w:szCs w:val="18"/>
              </w:rPr>
              <w:t xml:space="preserve"> un biotehnoloģijas</w:t>
            </w:r>
            <w:r w:rsidR="00001859" w:rsidRPr="009F0133">
              <w:rPr>
                <w:rFonts w:ascii="Verdana" w:hAnsi="Verdana"/>
                <w:sz w:val="18"/>
                <w:szCs w:val="18"/>
              </w:rPr>
              <w:t xml:space="preserve"> </w:t>
            </w:r>
            <w:r w:rsidRPr="009F0133">
              <w:rPr>
                <w:rFonts w:ascii="Verdana" w:hAnsi="Verdana"/>
                <w:i/>
                <w:sz w:val="18"/>
                <w:szCs w:val="18"/>
                <w:lang w:val="en-GB"/>
              </w:rPr>
              <w:t xml:space="preserve">(Biomedicine, medical technologies, </w:t>
            </w:r>
            <w:r w:rsidR="000E0596" w:rsidRPr="009F0133">
              <w:rPr>
                <w:rFonts w:ascii="Verdana" w:hAnsi="Verdana"/>
                <w:i/>
                <w:sz w:val="18"/>
                <w:szCs w:val="18"/>
                <w:lang w:val="en-GB"/>
              </w:rPr>
              <w:t>b</w:t>
            </w:r>
            <w:r w:rsidRPr="009F0133">
              <w:rPr>
                <w:rFonts w:ascii="Verdana" w:hAnsi="Verdana"/>
                <w:i/>
                <w:sz w:val="18"/>
                <w:szCs w:val="18"/>
                <w:lang w:val="en-GB"/>
              </w:rPr>
              <w:t>io-pharmacy and biotechnologies)</w:t>
            </w:r>
          </w:p>
          <w:p w14:paraId="17F67F7E" w14:textId="77777777" w:rsidR="00001859" w:rsidRPr="009F0133" w:rsidRDefault="00537EAA" w:rsidP="00001859">
            <w:pPr>
              <w:pStyle w:val="ListParagraph"/>
              <w:widowControl w:val="0"/>
              <w:numPr>
                <w:ilvl w:val="0"/>
                <w:numId w:val="4"/>
              </w:numPr>
              <w:pBdr>
                <w:top w:val="nil"/>
                <w:left w:val="nil"/>
                <w:bottom w:val="nil"/>
                <w:right w:val="nil"/>
                <w:between w:val="nil"/>
              </w:pBdr>
              <w:jc w:val="both"/>
              <w:rPr>
                <w:rFonts w:ascii="Verdana" w:hAnsi="Verdana"/>
                <w:sz w:val="18"/>
                <w:szCs w:val="18"/>
              </w:rPr>
            </w:pPr>
            <w:r w:rsidRPr="009F0133">
              <w:rPr>
                <w:rFonts w:ascii="Verdana" w:hAnsi="Verdana"/>
                <w:sz w:val="18"/>
                <w:szCs w:val="18"/>
              </w:rPr>
              <w:t xml:space="preserve">Viedie materiāli, tehnoloģijas un </w:t>
            </w:r>
            <w:proofErr w:type="spellStart"/>
            <w:r w:rsidRPr="009F0133">
              <w:rPr>
                <w:rFonts w:ascii="Verdana" w:hAnsi="Verdana"/>
                <w:sz w:val="18"/>
                <w:szCs w:val="18"/>
              </w:rPr>
              <w:t>inženiersistēmas</w:t>
            </w:r>
            <w:proofErr w:type="spellEnd"/>
            <w:r w:rsidRPr="009F0133">
              <w:rPr>
                <w:rFonts w:ascii="Verdana" w:hAnsi="Verdana"/>
                <w:sz w:val="18"/>
                <w:szCs w:val="18"/>
              </w:rPr>
              <w:t xml:space="preserve"> </w:t>
            </w:r>
            <w:r w:rsidRPr="009F0133">
              <w:rPr>
                <w:rFonts w:ascii="Verdana" w:hAnsi="Verdana"/>
                <w:i/>
                <w:sz w:val="18"/>
                <w:szCs w:val="18"/>
                <w:lang w:val="en-US"/>
              </w:rPr>
              <w:t>(Smart materials, technolog</w:t>
            </w:r>
            <w:r w:rsidR="004E04CC" w:rsidRPr="009F0133">
              <w:rPr>
                <w:rFonts w:ascii="Verdana" w:hAnsi="Verdana"/>
                <w:i/>
                <w:sz w:val="18"/>
                <w:szCs w:val="18"/>
                <w:lang w:val="en-US"/>
              </w:rPr>
              <w:t>y</w:t>
            </w:r>
            <w:r w:rsidRPr="009F0133">
              <w:rPr>
                <w:rFonts w:ascii="Verdana" w:hAnsi="Verdana"/>
                <w:i/>
                <w:sz w:val="18"/>
                <w:szCs w:val="18"/>
                <w:lang w:val="en-US"/>
              </w:rPr>
              <w:t xml:space="preserve"> and engineering systems)</w:t>
            </w:r>
          </w:p>
          <w:p w14:paraId="6685D2C6" w14:textId="77777777" w:rsidR="00001859" w:rsidRPr="009F0133" w:rsidRDefault="00537EAA" w:rsidP="00001859">
            <w:pPr>
              <w:pStyle w:val="ListParagraph"/>
              <w:widowControl w:val="0"/>
              <w:numPr>
                <w:ilvl w:val="0"/>
                <w:numId w:val="4"/>
              </w:numPr>
              <w:pBdr>
                <w:top w:val="nil"/>
                <w:left w:val="nil"/>
                <w:bottom w:val="nil"/>
                <w:right w:val="nil"/>
                <w:between w:val="nil"/>
              </w:pBdr>
              <w:jc w:val="both"/>
              <w:rPr>
                <w:rFonts w:ascii="Verdana" w:hAnsi="Verdana"/>
                <w:sz w:val="18"/>
                <w:szCs w:val="18"/>
              </w:rPr>
            </w:pPr>
            <w:r w:rsidRPr="009F0133">
              <w:rPr>
                <w:rFonts w:ascii="Verdana" w:hAnsi="Verdana"/>
                <w:sz w:val="18"/>
                <w:szCs w:val="18"/>
              </w:rPr>
              <w:t>Informācijas un komunikāciju tehnoloģijas</w:t>
            </w:r>
            <w:r w:rsidR="00001859" w:rsidRPr="009F0133">
              <w:rPr>
                <w:rFonts w:ascii="Verdana" w:hAnsi="Verdana"/>
                <w:sz w:val="18"/>
                <w:szCs w:val="18"/>
              </w:rPr>
              <w:t xml:space="preserve"> (IKT)</w:t>
            </w:r>
          </w:p>
          <w:p w14:paraId="36F3D324" w14:textId="77777777" w:rsidR="00001859" w:rsidRPr="009F0133" w:rsidRDefault="00537EAA" w:rsidP="00001859">
            <w:pPr>
              <w:pStyle w:val="ListParagraph"/>
              <w:widowControl w:val="0"/>
              <w:pBdr>
                <w:top w:val="nil"/>
                <w:left w:val="nil"/>
                <w:bottom w:val="nil"/>
                <w:right w:val="nil"/>
                <w:between w:val="nil"/>
              </w:pBdr>
              <w:ind w:left="852"/>
              <w:jc w:val="both"/>
              <w:rPr>
                <w:rFonts w:ascii="Verdana" w:hAnsi="Verdana"/>
                <w:i/>
                <w:sz w:val="18"/>
                <w:szCs w:val="18"/>
                <w:lang w:val="en-US"/>
              </w:rPr>
            </w:pPr>
            <w:r w:rsidRPr="009F0133">
              <w:rPr>
                <w:rFonts w:ascii="Verdana" w:hAnsi="Verdana"/>
                <w:i/>
                <w:sz w:val="18"/>
                <w:szCs w:val="18"/>
                <w:lang w:val="en-US"/>
              </w:rPr>
              <w:t>(Information and communication technologies (ICT))</w:t>
            </w:r>
          </w:p>
          <w:p w14:paraId="42F7E46B" w14:textId="77777777" w:rsidR="004E04CC" w:rsidRPr="009F0133" w:rsidRDefault="004E04CC" w:rsidP="009729FB">
            <w:pPr>
              <w:pStyle w:val="ListParagraph"/>
              <w:widowControl w:val="0"/>
              <w:numPr>
                <w:ilvl w:val="0"/>
                <w:numId w:val="4"/>
              </w:numPr>
              <w:pBdr>
                <w:top w:val="nil"/>
                <w:left w:val="nil"/>
                <w:bottom w:val="nil"/>
                <w:right w:val="nil"/>
                <w:between w:val="nil"/>
              </w:pBdr>
              <w:ind w:left="850" w:hanging="493"/>
              <w:jc w:val="both"/>
              <w:rPr>
                <w:rFonts w:ascii="Verdana" w:hAnsi="Verdana"/>
                <w:sz w:val="18"/>
                <w:szCs w:val="18"/>
              </w:rPr>
            </w:pPr>
            <w:r w:rsidRPr="009F0133">
              <w:rPr>
                <w:rFonts w:ascii="Verdana" w:hAnsi="Verdana"/>
                <w:sz w:val="18"/>
                <w:szCs w:val="18"/>
              </w:rPr>
              <w:t>Viedā enerģētika</w:t>
            </w:r>
            <w:r w:rsidR="00001859" w:rsidRPr="009F0133">
              <w:rPr>
                <w:rFonts w:ascii="Verdana" w:hAnsi="Verdana"/>
                <w:sz w:val="18"/>
                <w:szCs w:val="18"/>
              </w:rPr>
              <w:t xml:space="preserve"> </w:t>
            </w:r>
            <w:r w:rsidRPr="009F0133">
              <w:rPr>
                <w:rFonts w:ascii="Verdana" w:hAnsi="Verdana"/>
                <w:sz w:val="18"/>
                <w:szCs w:val="18"/>
                <w:lang w:val="en-US"/>
              </w:rPr>
              <w:t>(</w:t>
            </w:r>
            <w:r w:rsidRPr="009F0133">
              <w:rPr>
                <w:rFonts w:ascii="Verdana" w:hAnsi="Verdana"/>
                <w:i/>
                <w:sz w:val="18"/>
                <w:szCs w:val="18"/>
                <w:lang w:val="en-US"/>
              </w:rPr>
              <w:t>Smart energetics</w:t>
            </w:r>
            <w:r w:rsidRPr="009F0133">
              <w:rPr>
                <w:rFonts w:ascii="Verdana" w:hAnsi="Verdana"/>
                <w:sz w:val="18"/>
                <w:szCs w:val="18"/>
                <w:lang w:val="en-US"/>
              </w:rPr>
              <w:t>)</w:t>
            </w:r>
          </w:p>
        </w:tc>
      </w:tr>
      <w:tr w:rsidR="009E630B" w:rsidRPr="009F0133" w14:paraId="1413B51A" w14:textId="77777777" w:rsidTr="006A2DB8">
        <w:trPr>
          <w:trHeight w:val="3815"/>
        </w:trPr>
        <w:tc>
          <w:tcPr>
            <w:tcW w:w="2268" w:type="dxa"/>
          </w:tcPr>
          <w:p w14:paraId="730B4B92" w14:textId="77777777" w:rsidR="009E630B" w:rsidRPr="00D1380A" w:rsidRDefault="00537EAA" w:rsidP="009729FB">
            <w:pPr>
              <w:widowControl w:val="0"/>
              <w:pBdr>
                <w:top w:val="nil"/>
                <w:left w:val="nil"/>
                <w:bottom w:val="nil"/>
                <w:right w:val="nil"/>
                <w:between w:val="nil"/>
              </w:pBdr>
              <w:rPr>
                <w:rFonts w:ascii="Verdana" w:hAnsi="Verdana"/>
                <w:b/>
                <w:sz w:val="18"/>
                <w:szCs w:val="18"/>
              </w:rPr>
            </w:pPr>
            <w:r w:rsidRPr="00D1380A">
              <w:rPr>
                <w:rFonts w:ascii="Verdana" w:hAnsi="Verdana"/>
                <w:b/>
                <w:sz w:val="18"/>
                <w:szCs w:val="18"/>
              </w:rPr>
              <w:lastRenderedPageBreak/>
              <w:t>RIS3 monitorings</w:t>
            </w:r>
          </w:p>
          <w:p w14:paraId="135F0D23" w14:textId="77777777" w:rsidR="009E630B" w:rsidRPr="009F0133" w:rsidRDefault="00537EAA" w:rsidP="00BC40B3">
            <w:pPr>
              <w:widowControl w:val="0"/>
              <w:spacing w:before="240"/>
              <w:jc w:val="both"/>
              <w:rPr>
                <w:rFonts w:ascii="Verdana" w:hAnsi="Verdana"/>
                <w:sz w:val="18"/>
                <w:szCs w:val="18"/>
                <w:lang w:val="en-GB"/>
              </w:rPr>
            </w:pPr>
            <w:r w:rsidRPr="009F0133">
              <w:rPr>
                <w:rFonts w:ascii="Verdana" w:hAnsi="Verdana"/>
                <w:i/>
                <w:sz w:val="18"/>
                <w:szCs w:val="18"/>
                <w:lang w:val="en-GB"/>
              </w:rPr>
              <w:t>RIS3 monitoring</w:t>
            </w:r>
          </w:p>
        </w:tc>
        <w:tc>
          <w:tcPr>
            <w:tcW w:w="6732" w:type="dxa"/>
          </w:tcPr>
          <w:p w14:paraId="4087BD2C" w14:textId="77777777" w:rsidR="009E630B" w:rsidRPr="009F0133" w:rsidRDefault="00537EAA" w:rsidP="009729FB">
            <w:pPr>
              <w:widowControl w:val="0"/>
              <w:jc w:val="both"/>
              <w:rPr>
                <w:rFonts w:ascii="Verdana" w:hAnsi="Verdana"/>
                <w:sz w:val="18"/>
                <w:szCs w:val="18"/>
              </w:rPr>
            </w:pPr>
            <w:r w:rsidRPr="009F0133">
              <w:rPr>
                <w:rFonts w:ascii="Verdana" w:hAnsi="Verdana"/>
                <w:sz w:val="18"/>
                <w:szCs w:val="18"/>
              </w:rPr>
              <w:t>Monitoringa sistēmas mērķis ir nodrošināt publisko ieguldījumu RIS3 mērķu sasniegšanā efektivitāti, ilgtspēju un sabiedrisko vērtību. Tās uzdevums ir dot iespēju lēmumu pieņēmējiem novērtēt ieguldījumu ietekmi un nepieciešamības gadījumā veikt izmaiņas stratēģijā vai tās īstenošanas instrumentos. Monitoringa sistēma ir veidota, lai sekotu RIS3 mērķu sasniegšanai trīs līmeņos:</w:t>
            </w:r>
          </w:p>
          <w:p w14:paraId="32712970" w14:textId="77777777" w:rsidR="009E630B" w:rsidRPr="009F0133" w:rsidRDefault="00537EAA" w:rsidP="00001859">
            <w:pPr>
              <w:pStyle w:val="ListParagraph"/>
              <w:widowControl w:val="0"/>
              <w:numPr>
                <w:ilvl w:val="0"/>
                <w:numId w:val="6"/>
              </w:numPr>
              <w:spacing w:before="240"/>
              <w:jc w:val="both"/>
              <w:rPr>
                <w:rFonts w:ascii="Verdana" w:hAnsi="Verdana"/>
                <w:sz w:val="18"/>
                <w:szCs w:val="18"/>
              </w:rPr>
            </w:pPr>
            <w:r w:rsidRPr="009F0133">
              <w:rPr>
                <w:rFonts w:ascii="Verdana" w:hAnsi="Verdana"/>
                <w:sz w:val="18"/>
                <w:szCs w:val="18"/>
              </w:rPr>
              <w:t>RIS3 virsmērķi,</w:t>
            </w:r>
          </w:p>
          <w:p w14:paraId="3A4F691B" w14:textId="77777777" w:rsidR="009E630B" w:rsidRPr="009F0133" w:rsidRDefault="00537EAA" w:rsidP="00001859">
            <w:pPr>
              <w:pStyle w:val="ListParagraph"/>
              <w:widowControl w:val="0"/>
              <w:numPr>
                <w:ilvl w:val="0"/>
                <w:numId w:val="6"/>
              </w:numPr>
              <w:spacing w:before="240"/>
              <w:jc w:val="both"/>
              <w:rPr>
                <w:rFonts w:ascii="Verdana" w:hAnsi="Verdana"/>
                <w:sz w:val="18"/>
                <w:szCs w:val="18"/>
              </w:rPr>
            </w:pPr>
            <w:r w:rsidRPr="009F0133">
              <w:rPr>
                <w:rFonts w:ascii="Verdana" w:hAnsi="Verdana"/>
                <w:sz w:val="18"/>
                <w:szCs w:val="18"/>
              </w:rPr>
              <w:t>RIS3 makro līmeņa rādītāji,</w:t>
            </w:r>
          </w:p>
          <w:p w14:paraId="13800C39" w14:textId="77777777" w:rsidR="009E630B" w:rsidRPr="009F0133" w:rsidRDefault="00537EAA" w:rsidP="00001859">
            <w:pPr>
              <w:pStyle w:val="ListParagraph"/>
              <w:widowControl w:val="0"/>
              <w:numPr>
                <w:ilvl w:val="0"/>
                <w:numId w:val="6"/>
              </w:numPr>
              <w:spacing w:before="240" w:after="120"/>
              <w:jc w:val="both"/>
              <w:rPr>
                <w:rFonts w:ascii="Verdana" w:eastAsia="Times New Roman" w:hAnsi="Verdana" w:cs="Times New Roman"/>
                <w:sz w:val="18"/>
                <w:szCs w:val="18"/>
              </w:rPr>
            </w:pPr>
            <w:r w:rsidRPr="009F0133">
              <w:rPr>
                <w:rFonts w:ascii="Verdana" w:hAnsi="Verdana"/>
                <w:sz w:val="18"/>
                <w:szCs w:val="18"/>
              </w:rPr>
              <w:t xml:space="preserve">RIS3 </w:t>
            </w:r>
            <w:proofErr w:type="spellStart"/>
            <w:r w:rsidRPr="009F0133">
              <w:rPr>
                <w:rFonts w:ascii="Verdana" w:hAnsi="Verdana"/>
                <w:sz w:val="18"/>
                <w:szCs w:val="18"/>
              </w:rPr>
              <w:t>mikro</w:t>
            </w:r>
            <w:proofErr w:type="spellEnd"/>
            <w:r w:rsidRPr="009F0133">
              <w:rPr>
                <w:rFonts w:ascii="Verdana" w:hAnsi="Verdana"/>
                <w:sz w:val="18"/>
                <w:szCs w:val="18"/>
              </w:rPr>
              <w:t xml:space="preserve"> līmeņa rādītāji.</w:t>
            </w:r>
          </w:p>
          <w:p w14:paraId="68DA26E9" w14:textId="182FAF61" w:rsidR="00001859" w:rsidRPr="009F0133" w:rsidRDefault="00537EAA" w:rsidP="00001859">
            <w:pPr>
              <w:widowControl w:val="0"/>
              <w:pBdr>
                <w:top w:val="nil"/>
                <w:left w:val="nil"/>
                <w:bottom w:val="nil"/>
                <w:right w:val="nil"/>
                <w:between w:val="nil"/>
              </w:pBdr>
              <w:spacing w:before="240"/>
              <w:rPr>
                <w:rFonts w:ascii="Verdana" w:hAnsi="Verdana"/>
                <w:sz w:val="18"/>
                <w:szCs w:val="18"/>
              </w:rPr>
            </w:pPr>
            <w:r w:rsidRPr="009F0133">
              <w:rPr>
                <w:rFonts w:ascii="Verdana" w:hAnsi="Verdana"/>
                <w:sz w:val="18"/>
                <w:szCs w:val="18"/>
              </w:rPr>
              <w:t xml:space="preserve">Monitoringa sistēma paredz iespēju pārskatīt noteiktās prioritātes un pasākumus, </w:t>
            </w:r>
            <w:proofErr w:type="gramStart"/>
            <w:r w:rsidRPr="009F0133">
              <w:rPr>
                <w:rFonts w:ascii="Verdana" w:hAnsi="Verdana"/>
                <w:sz w:val="18"/>
                <w:szCs w:val="18"/>
              </w:rPr>
              <w:t>ļaujot aptvert plašāku Latvijas attīstības kontekstu</w:t>
            </w:r>
            <w:proofErr w:type="gramEnd"/>
            <w:r w:rsidR="00001859" w:rsidRPr="009F0133">
              <w:rPr>
                <w:rFonts w:ascii="Verdana" w:hAnsi="Verdana"/>
                <w:sz w:val="18"/>
                <w:szCs w:val="18"/>
              </w:rPr>
              <w:t xml:space="preserve"> </w:t>
            </w:r>
            <w:r w:rsidRPr="009F0133">
              <w:rPr>
                <w:rFonts w:ascii="Verdana" w:hAnsi="Verdana"/>
                <w:sz w:val="18"/>
                <w:szCs w:val="18"/>
              </w:rPr>
              <w:t xml:space="preserve">un nodrošināt elastīgu pielāgošanos izmaiņām tautsaimniecībā. </w:t>
            </w:r>
            <w:r w:rsidR="004C254C" w:rsidRPr="009F0133">
              <w:rPr>
                <w:rFonts w:ascii="Verdana" w:hAnsi="Verdana"/>
                <w:sz w:val="18"/>
                <w:szCs w:val="18"/>
              </w:rPr>
              <w:t xml:space="preserve"> </w:t>
            </w:r>
            <w:r w:rsidRPr="009F0133">
              <w:rPr>
                <w:rFonts w:ascii="Verdana" w:hAnsi="Verdana"/>
                <w:sz w:val="18"/>
                <w:szCs w:val="18"/>
              </w:rPr>
              <w:t xml:space="preserve">Latvijas RIS3 monitoringa process ietver trīs darbības virzienus – 1) RIS3 progresa analīze, kas ietver datu vākšanu, analīzi un progresa ziņojumu gatavošanu, 2) RIS3 programmu pārvaldību, tajā skaitā publisko diskusiju regulāru organizēšanu un 3) P&amp;A&amp;I nozaru pārvaldības un analītiskās un prognozēšanas spējas kapacitātes veidošanu. </w:t>
            </w:r>
          </w:p>
        </w:tc>
      </w:tr>
      <w:tr w:rsidR="009E630B" w:rsidRPr="009F0133" w14:paraId="07E26095" w14:textId="77777777" w:rsidTr="006A2DB8">
        <w:trPr>
          <w:trHeight w:val="851"/>
        </w:trPr>
        <w:tc>
          <w:tcPr>
            <w:tcW w:w="2268" w:type="dxa"/>
          </w:tcPr>
          <w:p w14:paraId="531774F8" w14:textId="77777777" w:rsidR="009E630B" w:rsidRPr="00D1380A" w:rsidRDefault="00537EAA" w:rsidP="009729FB">
            <w:pPr>
              <w:widowControl w:val="0"/>
              <w:pBdr>
                <w:top w:val="nil"/>
                <w:left w:val="nil"/>
                <w:bottom w:val="nil"/>
                <w:right w:val="nil"/>
                <w:between w:val="nil"/>
              </w:pBdr>
              <w:rPr>
                <w:rFonts w:ascii="Verdana" w:hAnsi="Verdana"/>
                <w:b/>
                <w:sz w:val="18"/>
                <w:szCs w:val="18"/>
              </w:rPr>
            </w:pPr>
            <w:r w:rsidRPr="00D1380A">
              <w:rPr>
                <w:rFonts w:ascii="Verdana" w:hAnsi="Verdana"/>
                <w:b/>
                <w:sz w:val="18"/>
                <w:szCs w:val="18"/>
              </w:rPr>
              <w:t>Rīcīb</w:t>
            </w:r>
            <w:r w:rsidR="00001859" w:rsidRPr="00D1380A">
              <w:rPr>
                <w:rFonts w:ascii="Verdana" w:hAnsi="Verdana"/>
                <w:b/>
                <w:sz w:val="18"/>
                <w:szCs w:val="18"/>
              </w:rPr>
              <w:t>p</w:t>
            </w:r>
            <w:r w:rsidRPr="00D1380A">
              <w:rPr>
                <w:rFonts w:ascii="Verdana" w:hAnsi="Verdana"/>
                <w:b/>
                <w:sz w:val="18"/>
                <w:szCs w:val="18"/>
              </w:rPr>
              <w:t>olitikas instrumenti</w:t>
            </w:r>
          </w:p>
          <w:p w14:paraId="45EF35B8" w14:textId="77777777" w:rsidR="009E630B" w:rsidRPr="009F0133" w:rsidRDefault="00537EAA" w:rsidP="00BC40B3">
            <w:pPr>
              <w:widowControl w:val="0"/>
              <w:spacing w:before="240"/>
              <w:jc w:val="both"/>
              <w:rPr>
                <w:rFonts w:ascii="Verdana" w:hAnsi="Verdana"/>
                <w:sz w:val="18"/>
                <w:szCs w:val="18"/>
                <w:lang w:val="en-GB"/>
              </w:rPr>
            </w:pPr>
            <w:r w:rsidRPr="009F0133">
              <w:rPr>
                <w:rFonts w:ascii="Verdana" w:hAnsi="Verdana"/>
                <w:i/>
                <w:sz w:val="18"/>
                <w:szCs w:val="18"/>
                <w:lang w:val="en-GB"/>
              </w:rPr>
              <w:t>Policy instruments</w:t>
            </w:r>
          </w:p>
        </w:tc>
        <w:tc>
          <w:tcPr>
            <w:tcW w:w="6732" w:type="dxa"/>
          </w:tcPr>
          <w:p w14:paraId="093E8979" w14:textId="77777777" w:rsidR="009729FB" w:rsidRPr="009F0133" w:rsidRDefault="00537EAA" w:rsidP="009729FB">
            <w:pPr>
              <w:widowControl w:val="0"/>
              <w:jc w:val="both"/>
              <w:rPr>
                <w:rFonts w:ascii="Verdana" w:hAnsi="Verdana"/>
                <w:sz w:val="18"/>
                <w:szCs w:val="18"/>
              </w:rPr>
            </w:pPr>
            <w:r w:rsidRPr="009F0133">
              <w:rPr>
                <w:rFonts w:ascii="Verdana" w:hAnsi="Verdana"/>
                <w:sz w:val="18"/>
                <w:szCs w:val="18"/>
              </w:rPr>
              <w:t>Rīcībpolitikas instrumenti – rīki, ar kuru palīdzību tiek īstenota politika; tie iekļauj finanšu un nefinanšu instrumentus.</w:t>
            </w:r>
          </w:p>
          <w:p w14:paraId="08037669" w14:textId="2E8D994A" w:rsidR="004E04CC" w:rsidRPr="009F0133" w:rsidRDefault="004E04CC" w:rsidP="009729FB">
            <w:pPr>
              <w:widowControl w:val="0"/>
              <w:jc w:val="both"/>
              <w:rPr>
                <w:rFonts w:ascii="Verdana" w:hAnsi="Verdana"/>
                <w:sz w:val="18"/>
                <w:szCs w:val="18"/>
              </w:rPr>
            </w:pPr>
            <w:r w:rsidRPr="009F0133">
              <w:rPr>
                <w:rFonts w:ascii="Verdana" w:hAnsi="Verdana"/>
                <w:i/>
                <w:sz w:val="18"/>
                <w:szCs w:val="18"/>
                <w:lang w:val="en-GB"/>
              </w:rPr>
              <w:t>Policy instruments - the means by which public policy is put into practical effect (financial, non-financial).</w:t>
            </w:r>
          </w:p>
        </w:tc>
      </w:tr>
      <w:tr w:rsidR="009E630B" w:rsidRPr="009F0133" w14:paraId="0900B489" w14:textId="77777777" w:rsidTr="006A2DB8">
        <w:trPr>
          <w:trHeight w:val="1119"/>
        </w:trPr>
        <w:tc>
          <w:tcPr>
            <w:tcW w:w="2268" w:type="dxa"/>
          </w:tcPr>
          <w:p w14:paraId="129FDDB8" w14:textId="77777777" w:rsidR="009E630B" w:rsidRPr="00D1380A" w:rsidRDefault="00537EAA" w:rsidP="009729FB">
            <w:pPr>
              <w:widowControl w:val="0"/>
              <w:pBdr>
                <w:top w:val="nil"/>
                <w:left w:val="nil"/>
                <w:bottom w:val="nil"/>
                <w:right w:val="nil"/>
                <w:between w:val="nil"/>
              </w:pBdr>
              <w:rPr>
                <w:rFonts w:ascii="Verdana" w:hAnsi="Verdana"/>
                <w:b/>
                <w:sz w:val="18"/>
                <w:szCs w:val="18"/>
              </w:rPr>
            </w:pPr>
            <w:r w:rsidRPr="00D1380A">
              <w:rPr>
                <w:rFonts w:ascii="Verdana" w:hAnsi="Verdana"/>
                <w:b/>
                <w:sz w:val="18"/>
                <w:szCs w:val="18"/>
              </w:rPr>
              <w:t>Rīcībpolitikas pasākumu kopums</w:t>
            </w:r>
          </w:p>
          <w:p w14:paraId="1A09880E" w14:textId="77777777" w:rsidR="009E630B" w:rsidRPr="009F0133" w:rsidRDefault="00537EAA" w:rsidP="00BC40B3">
            <w:pPr>
              <w:widowControl w:val="0"/>
              <w:spacing w:before="240"/>
              <w:jc w:val="both"/>
              <w:rPr>
                <w:rFonts w:ascii="Verdana" w:hAnsi="Verdana"/>
                <w:sz w:val="18"/>
                <w:szCs w:val="18"/>
                <w:lang w:val="en-GB"/>
              </w:rPr>
            </w:pPr>
            <w:r w:rsidRPr="009F0133">
              <w:rPr>
                <w:rFonts w:ascii="Verdana" w:hAnsi="Verdana"/>
                <w:i/>
                <w:sz w:val="18"/>
                <w:szCs w:val="18"/>
                <w:lang w:val="en-GB"/>
              </w:rPr>
              <w:t>Policy mix</w:t>
            </w:r>
          </w:p>
        </w:tc>
        <w:tc>
          <w:tcPr>
            <w:tcW w:w="6732" w:type="dxa"/>
          </w:tcPr>
          <w:p w14:paraId="1C934733" w14:textId="77777777" w:rsidR="004C254C" w:rsidRPr="009F0133" w:rsidRDefault="0073677D" w:rsidP="009729FB">
            <w:pPr>
              <w:widowControl w:val="0"/>
              <w:jc w:val="both"/>
              <w:rPr>
                <w:rFonts w:ascii="Verdana" w:hAnsi="Verdana"/>
                <w:sz w:val="18"/>
                <w:szCs w:val="18"/>
                <w:lang w:val="lv-LV"/>
              </w:rPr>
            </w:pPr>
            <w:r w:rsidRPr="009F0133">
              <w:rPr>
                <w:rFonts w:ascii="Verdana" w:hAnsi="Verdana"/>
                <w:sz w:val="18"/>
                <w:szCs w:val="18"/>
                <w:lang w:val="lv-LV"/>
              </w:rPr>
              <w:t>Politikas</w:t>
            </w:r>
            <w:r w:rsidR="006A2C60" w:rsidRPr="009F0133">
              <w:rPr>
                <w:rFonts w:ascii="Verdana" w:hAnsi="Verdana"/>
                <w:sz w:val="18"/>
                <w:szCs w:val="18"/>
                <w:lang w:val="lv-LV"/>
              </w:rPr>
              <w:t xml:space="preserve"> pasākumu</w:t>
            </w:r>
            <w:r w:rsidRPr="009F0133">
              <w:rPr>
                <w:rFonts w:ascii="Verdana" w:hAnsi="Verdana"/>
                <w:sz w:val="18"/>
                <w:szCs w:val="18"/>
                <w:lang w:val="lv-LV"/>
              </w:rPr>
              <w:t xml:space="preserve"> kopums - dažā</w:t>
            </w:r>
            <w:r w:rsidR="00860736" w:rsidRPr="009F0133">
              <w:rPr>
                <w:rFonts w:ascii="Verdana" w:hAnsi="Verdana"/>
                <w:sz w:val="18"/>
                <w:szCs w:val="18"/>
                <w:lang w:val="lv-LV"/>
              </w:rPr>
              <w:t>du</w:t>
            </w:r>
            <w:r w:rsidRPr="009F0133">
              <w:rPr>
                <w:rFonts w:ascii="Verdana" w:hAnsi="Verdana"/>
                <w:sz w:val="18"/>
                <w:szCs w:val="18"/>
                <w:lang w:val="lv-LV"/>
              </w:rPr>
              <w:t xml:space="preserve"> politik</w:t>
            </w:r>
            <w:r w:rsidR="00856757" w:rsidRPr="009F0133">
              <w:rPr>
                <w:rFonts w:ascii="Verdana" w:hAnsi="Verdana"/>
                <w:sz w:val="18"/>
                <w:szCs w:val="18"/>
                <w:lang w:val="lv-LV"/>
              </w:rPr>
              <w:t>as pasākumu</w:t>
            </w:r>
            <w:r w:rsidR="00860736" w:rsidRPr="009F0133">
              <w:rPr>
                <w:rFonts w:ascii="Verdana" w:hAnsi="Verdana"/>
                <w:sz w:val="18"/>
                <w:szCs w:val="18"/>
                <w:lang w:val="lv-LV"/>
              </w:rPr>
              <w:t xml:space="preserve"> savstarpējā</w:t>
            </w:r>
            <w:r w:rsidR="008007B7" w:rsidRPr="009F0133">
              <w:rPr>
                <w:rFonts w:ascii="Verdana" w:hAnsi="Verdana"/>
                <w:sz w:val="18"/>
                <w:szCs w:val="18"/>
                <w:lang w:val="lv-LV"/>
              </w:rPr>
              <w:t xml:space="preserve"> mijiedarbība un</w:t>
            </w:r>
            <w:r w:rsidR="00860736" w:rsidRPr="009F0133">
              <w:rPr>
                <w:rFonts w:ascii="Verdana" w:hAnsi="Verdana"/>
                <w:sz w:val="18"/>
                <w:szCs w:val="18"/>
                <w:lang w:val="lv-LV"/>
              </w:rPr>
              <w:t xml:space="preserve"> sasaiste</w:t>
            </w:r>
            <w:r w:rsidR="00856757" w:rsidRPr="009F0133">
              <w:rPr>
                <w:rFonts w:ascii="Verdana" w:hAnsi="Verdana"/>
                <w:sz w:val="18"/>
                <w:szCs w:val="18"/>
                <w:lang w:val="lv-LV"/>
              </w:rPr>
              <w:t xml:space="preserve"> (sinerģija), ka</w:t>
            </w:r>
            <w:r w:rsidR="008007B7" w:rsidRPr="009F0133">
              <w:rPr>
                <w:rFonts w:ascii="Verdana" w:hAnsi="Verdana"/>
                <w:sz w:val="18"/>
                <w:szCs w:val="18"/>
                <w:lang w:val="lv-LV"/>
              </w:rPr>
              <w:t>s</w:t>
            </w:r>
            <w:r w:rsidR="00856757" w:rsidRPr="009F0133">
              <w:rPr>
                <w:rFonts w:ascii="Verdana" w:hAnsi="Verdana"/>
                <w:sz w:val="18"/>
                <w:szCs w:val="18"/>
                <w:lang w:val="lv-LV"/>
              </w:rPr>
              <w:t xml:space="preserve"> </w:t>
            </w:r>
            <w:r w:rsidRPr="009F0133">
              <w:rPr>
                <w:rFonts w:ascii="Verdana" w:hAnsi="Verdana"/>
                <w:sz w:val="18"/>
                <w:szCs w:val="18"/>
                <w:lang w:val="lv-LV"/>
              </w:rPr>
              <w:t xml:space="preserve">ietekmē </w:t>
            </w:r>
            <w:r w:rsidR="00FB13F0" w:rsidRPr="009F0133">
              <w:rPr>
                <w:rFonts w:ascii="Verdana" w:hAnsi="Verdana"/>
                <w:sz w:val="18"/>
                <w:szCs w:val="18"/>
                <w:lang w:val="lv-LV"/>
              </w:rPr>
              <w:t xml:space="preserve">attiecīgo </w:t>
            </w:r>
            <w:r w:rsidRPr="009F0133">
              <w:rPr>
                <w:rFonts w:ascii="Verdana" w:hAnsi="Verdana"/>
                <w:sz w:val="18"/>
                <w:szCs w:val="18"/>
                <w:lang w:val="lv-LV"/>
              </w:rPr>
              <w:t>politikas rezultāt</w:t>
            </w:r>
            <w:r w:rsidR="00856757" w:rsidRPr="009F0133">
              <w:rPr>
                <w:rFonts w:ascii="Verdana" w:hAnsi="Verdana"/>
                <w:sz w:val="18"/>
                <w:szCs w:val="18"/>
                <w:lang w:val="lv-LV"/>
              </w:rPr>
              <w:t>u sasniegšanu</w:t>
            </w:r>
            <w:r w:rsidR="00F21012" w:rsidRPr="009F0133">
              <w:rPr>
                <w:rFonts w:ascii="Verdana" w:hAnsi="Verdana"/>
                <w:sz w:val="18"/>
                <w:szCs w:val="18"/>
                <w:lang w:val="lv-LV"/>
              </w:rPr>
              <w:t>.</w:t>
            </w:r>
          </w:p>
          <w:p w14:paraId="15A57EDD" w14:textId="6645BDE7" w:rsidR="00001859" w:rsidRPr="009F0133" w:rsidRDefault="004C254C" w:rsidP="00F21012">
            <w:pPr>
              <w:widowControl w:val="0"/>
              <w:spacing w:before="240"/>
              <w:jc w:val="both"/>
              <w:rPr>
                <w:rFonts w:ascii="Verdana" w:hAnsi="Verdana"/>
                <w:sz w:val="18"/>
                <w:szCs w:val="18"/>
                <w:lang w:val="lv-LV"/>
              </w:rPr>
            </w:pPr>
            <w:r w:rsidRPr="009F0133">
              <w:rPr>
                <w:rFonts w:ascii="Verdana" w:hAnsi="Verdana"/>
                <w:i/>
                <w:sz w:val="18"/>
                <w:szCs w:val="18"/>
                <w:lang w:val="en-GB"/>
              </w:rPr>
              <w:t>P</w:t>
            </w:r>
            <w:r w:rsidR="00537EAA" w:rsidRPr="009F0133">
              <w:rPr>
                <w:rFonts w:ascii="Verdana" w:hAnsi="Verdana"/>
                <w:i/>
                <w:sz w:val="18"/>
                <w:szCs w:val="18"/>
                <w:lang w:val="en-GB"/>
              </w:rPr>
              <w:t>olicy mix - the interactions and interdependencies between different policies as they affect the extent to which intended policy outcomes are achieved</w:t>
            </w:r>
            <w:r w:rsidR="00F21012" w:rsidRPr="009F0133">
              <w:rPr>
                <w:rFonts w:ascii="Verdana" w:hAnsi="Verdana"/>
                <w:i/>
                <w:sz w:val="18"/>
                <w:szCs w:val="18"/>
                <w:lang w:val="en-GB"/>
              </w:rPr>
              <w:t>.</w:t>
            </w:r>
          </w:p>
        </w:tc>
      </w:tr>
      <w:tr w:rsidR="009E630B" w:rsidRPr="009F0133" w14:paraId="66EBD5CD" w14:textId="77777777" w:rsidTr="006A2DB8">
        <w:trPr>
          <w:trHeight w:val="2044"/>
        </w:trPr>
        <w:tc>
          <w:tcPr>
            <w:tcW w:w="2268" w:type="dxa"/>
          </w:tcPr>
          <w:p w14:paraId="7B1AB3D9" w14:textId="77777777" w:rsidR="009E630B" w:rsidRPr="00D1380A" w:rsidRDefault="00537EAA" w:rsidP="00D1380A">
            <w:pPr>
              <w:widowControl w:val="0"/>
              <w:rPr>
                <w:rFonts w:ascii="Verdana" w:hAnsi="Verdana"/>
                <w:b/>
                <w:sz w:val="18"/>
                <w:szCs w:val="18"/>
              </w:rPr>
            </w:pPr>
            <w:r w:rsidRPr="00D1380A">
              <w:rPr>
                <w:rFonts w:ascii="Verdana" w:hAnsi="Verdana"/>
                <w:b/>
                <w:sz w:val="18"/>
                <w:szCs w:val="18"/>
              </w:rPr>
              <w:t>Strukturālās reformas</w:t>
            </w:r>
          </w:p>
          <w:p w14:paraId="4A7281FE" w14:textId="77777777" w:rsidR="009E630B" w:rsidRPr="009F0133" w:rsidRDefault="00537EAA" w:rsidP="00BC40B3">
            <w:pPr>
              <w:widowControl w:val="0"/>
              <w:spacing w:before="240"/>
              <w:jc w:val="both"/>
              <w:rPr>
                <w:rFonts w:ascii="Verdana" w:hAnsi="Verdana"/>
                <w:i/>
                <w:sz w:val="18"/>
                <w:szCs w:val="18"/>
                <w:lang w:val="en-GB"/>
              </w:rPr>
            </w:pPr>
            <w:r w:rsidRPr="009F0133">
              <w:rPr>
                <w:rFonts w:ascii="Verdana" w:hAnsi="Verdana"/>
                <w:i/>
                <w:sz w:val="18"/>
                <w:szCs w:val="18"/>
                <w:lang w:val="en-GB"/>
              </w:rPr>
              <w:t>Structural reforms</w:t>
            </w:r>
          </w:p>
        </w:tc>
        <w:tc>
          <w:tcPr>
            <w:tcW w:w="6732" w:type="dxa"/>
          </w:tcPr>
          <w:p w14:paraId="25F1D859" w14:textId="77777777" w:rsidR="009E630B" w:rsidRPr="009F0133" w:rsidRDefault="00537EAA" w:rsidP="009729FB">
            <w:pPr>
              <w:widowControl w:val="0"/>
              <w:jc w:val="both"/>
              <w:rPr>
                <w:rFonts w:ascii="Verdana" w:hAnsi="Verdana"/>
                <w:sz w:val="18"/>
                <w:szCs w:val="18"/>
              </w:rPr>
            </w:pPr>
            <w:r w:rsidRPr="009F0133">
              <w:rPr>
                <w:rFonts w:ascii="Verdana" w:hAnsi="Verdana"/>
                <w:sz w:val="18"/>
                <w:szCs w:val="18"/>
              </w:rPr>
              <w:t>Savstarpēji saskaņotas, plānveidīgas, finansiāli, sociāli un politiski izvērtētas, kā arī ar ieinteresētajām pusēm un sabiedrību izdiskutētas izmaiņas noteiktās valsts politikas jomās, kas ir vērstas uz to, lai kāpinātu valsts konkurētspēju un nodrošinātu valsts attīstības mērķu sekmīgāku sasniegšanu. Tādējādi strukturālas reformas vienlaikus ietver attīstības vīzijas un mērķu pārskatīšanu, to sasniegšanas veidu pārskatīšanu, kā arī izpildstruktūras (institucionālās struktūras) un darbības veida (procesu) pārskatīšanu.</w:t>
            </w:r>
            <w:r w:rsidR="000E0596" w:rsidRPr="009F0133">
              <w:rPr>
                <w:rFonts w:ascii="Verdana" w:hAnsi="Verdana"/>
                <w:sz w:val="18"/>
                <w:szCs w:val="18"/>
              </w:rPr>
              <w:t xml:space="preserve"> Vairāk lasīt šajā saitē:</w:t>
            </w:r>
          </w:p>
          <w:p w14:paraId="53906E7F" w14:textId="2C56B3E1" w:rsidR="009E630B" w:rsidRPr="009F0133" w:rsidRDefault="002C0B52" w:rsidP="00F21012">
            <w:pPr>
              <w:widowControl w:val="0"/>
              <w:jc w:val="both"/>
              <w:rPr>
                <w:rFonts w:ascii="Verdana" w:hAnsi="Verdana"/>
                <w:sz w:val="18"/>
                <w:szCs w:val="18"/>
              </w:rPr>
            </w:pPr>
            <w:hyperlink r:id="rId13" w:history="1">
              <w:r w:rsidR="000E0596" w:rsidRPr="009F0133">
                <w:rPr>
                  <w:rStyle w:val="Hyperlink"/>
                  <w:rFonts w:ascii="Verdana" w:hAnsi="Verdana"/>
                  <w:sz w:val="18"/>
                  <w:szCs w:val="18"/>
                </w:rPr>
                <w:t>http://www.pkc.gov.lv/sites/default/files/images-legacy/pkc_rokasgramata_090316_web.pdf</w:t>
              </w:r>
            </w:hyperlink>
            <w:r w:rsidR="00537EAA" w:rsidRPr="009F0133">
              <w:rPr>
                <w:rFonts w:ascii="Verdana" w:hAnsi="Verdana"/>
                <w:sz w:val="18"/>
                <w:szCs w:val="18"/>
              </w:rPr>
              <w:t xml:space="preserve"> </w:t>
            </w:r>
          </w:p>
        </w:tc>
      </w:tr>
      <w:tr w:rsidR="009E630B" w:rsidRPr="009F0133" w14:paraId="36CCDD90" w14:textId="77777777" w:rsidTr="006A2DB8">
        <w:trPr>
          <w:trHeight w:val="414"/>
        </w:trPr>
        <w:tc>
          <w:tcPr>
            <w:tcW w:w="2268" w:type="dxa"/>
          </w:tcPr>
          <w:p w14:paraId="0076073F" w14:textId="77777777" w:rsidR="009E630B" w:rsidRPr="00D1380A" w:rsidRDefault="00537EAA">
            <w:pPr>
              <w:widowControl w:val="0"/>
              <w:pBdr>
                <w:top w:val="nil"/>
                <w:left w:val="nil"/>
                <w:bottom w:val="nil"/>
                <w:right w:val="nil"/>
                <w:between w:val="nil"/>
              </w:pBdr>
              <w:rPr>
                <w:rFonts w:ascii="Verdana" w:hAnsi="Verdana"/>
                <w:b/>
                <w:sz w:val="18"/>
                <w:szCs w:val="18"/>
              </w:rPr>
            </w:pPr>
            <w:r w:rsidRPr="00D1380A">
              <w:rPr>
                <w:rFonts w:ascii="Verdana" w:hAnsi="Verdana"/>
                <w:b/>
                <w:sz w:val="18"/>
                <w:szCs w:val="18"/>
              </w:rPr>
              <w:t>STEM</w:t>
            </w:r>
          </w:p>
          <w:p w14:paraId="4B00B355" w14:textId="77777777" w:rsidR="00001859" w:rsidRPr="009F0133" w:rsidRDefault="00001859">
            <w:pPr>
              <w:widowControl w:val="0"/>
              <w:pBdr>
                <w:top w:val="nil"/>
                <w:left w:val="nil"/>
                <w:bottom w:val="nil"/>
                <w:right w:val="nil"/>
                <w:between w:val="nil"/>
              </w:pBdr>
              <w:rPr>
                <w:rFonts w:ascii="Verdana" w:hAnsi="Verdana"/>
                <w:sz w:val="18"/>
                <w:szCs w:val="18"/>
              </w:rPr>
            </w:pPr>
          </w:p>
        </w:tc>
        <w:tc>
          <w:tcPr>
            <w:tcW w:w="6732" w:type="dxa"/>
          </w:tcPr>
          <w:p w14:paraId="74ECAD9A" w14:textId="77777777" w:rsidR="009E630B" w:rsidRPr="009F0133" w:rsidRDefault="00537EAA">
            <w:pPr>
              <w:widowControl w:val="0"/>
              <w:pBdr>
                <w:top w:val="nil"/>
                <w:left w:val="nil"/>
                <w:bottom w:val="nil"/>
                <w:right w:val="nil"/>
                <w:between w:val="nil"/>
              </w:pBdr>
              <w:rPr>
                <w:rFonts w:ascii="Verdana" w:hAnsi="Verdana"/>
                <w:sz w:val="18"/>
                <w:szCs w:val="18"/>
              </w:rPr>
            </w:pPr>
            <w:r w:rsidRPr="009F0133">
              <w:rPr>
                <w:rFonts w:ascii="Verdana" w:hAnsi="Verdana"/>
                <w:i/>
                <w:sz w:val="18"/>
                <w:szCs w:val="18"/>
                <w:lang w:val="en-GB"/>
              </w:rPr>
              <w:t>Science, Technology, Engineering, and Mathematics</w:t>
            </w:r>
            <w:r w:rsidRPr="009F0133">
              <w:rPr>
                <w:rFonts w:ascii="Verdana" w:hAnsi="Verdana"/>
                <w:i/>
                <w:sz w:val="18"/>
                <w:szCs w:val="18"/>
              </w:rPr>
              <w:t xml:space="preserve"> </w:t>
            </w:r>
            <w:r w:rsidRPr="009F0133">
              <w:rPr>
                <w:rFonts w:ascii="Verdana" w:hAnsi="Verdana"/>
                <w:sz w:val="18"/>
                <w:szCs w:val="18"/>
              </w:rPr>
              <w:t>– dabaszinātņu, tehnoloģiju, inženierzinātņu un matemātikas nozares</w:t>
            </w:r>
            <w:r w:rsidR="000E0596" w:rsidRPr="009F0133">
              <w:rPr>
                <w:rFonts w:ascii="Verdana" w:hAnsi="Verdana"/>
                <w:sz w:val="18"/>
                <w:szCs w:val="18"/>
              </w:rPr>
              <w:t>.</w:t>
            </w:r>
          </w:p>
        </w:tc>
      </w:tr>
      <w:tr w:rsidR="009E630B" w:rsidRPr="009F0133" w14:paraId="5165E1C7" w14:textId="77777777" w:rsidTr="006A2DB8">
        <w:trPr>
          <w:trHeight w:val="2278"/>
        </w:trPr>
        <w:tc>
          <w:tcPr>
            <w:tcW w:w="2268" w:type="dxa"/>
          </w:tcPr>
          <w:p w14:paraId="6C5CB773" w14:textId="77777777" w:rsidR="009E630B" w:rsidRPr="009F0133" w:rsidRDefault="00537EAA" w:rsidP="00001859">
            <w:pPr>
              <w:widowControl w:val="0"/>
              <w:spacing w:before="240"/>
              <w:rPr>
                <w:rFonts w:ascii="Verdana" w:hAnsi="Verdana"/>
                <w:b/>
                <w:sz w:val="18"/>
                <w:szCs w:val="18"/>
              </w:rPr>
            </w:pPr>
            <w:r w:rsidRPr="009F0133">
              <w:rPr>
                <w:rFonts w:ascii="Verdana" w:hAnsi="Verdana"/>
                <w:b/>
                <w:sz w:val="18"/>
                <w:szCs w:val="18"/>
              </w:rPr>
              <w:t>Radoša destrukcija</w:t>
            </w:r>
          </w:p>
          <w:p w14:paraId="3BF6A453" w14:textId="77777777" w:rsidR="009E630B" w:rsidRPr="009F0133" w:rsidRDefault="00537EAA" w:rsidP="00BC40B3">
            <w:pPr>
              <w:widowControl w:val="0"/>
              <w:spacing w:before="240"/>
              <w:rPr>
                <w:rFonts w:ascii="Verdana" w:hAnsi="Verdana"/>
                <w:i/>
                <w:sz w:val="18"/>
                <w:szCs w:val="18"/>
                <w:lang w:val="en-GB"/>
              </w:rPr>
            </w:pPr>
            <w:r w:rsidRPr="009F0133">
              <w:rPr>
                <w:rFonts w:ascii="Verdana" w:hAnsi="Verdana"/>
                <w:i/>
                <w:sz w:val="18"/>
                <w:szCs w:val="18"/>
                <w:lang w:val="en-GB"/>
              </w:rPr>
              <w:t>Creative destruction</w:t>
            </w:r>
          </w:p>
        </w:tc>
        <w:tc>
          <w:tcPr>
            <w:tcW w:w="6732" w:type="dxa"/>
          </w:tcPr>
          <w:p w14:paraId="396F47EA" w14:textId="2ED507B0" w:rsidR="009E630B" w:rsidRPr="009F0133" w:rsidRDefault="00537EAA" w:rsidP="00E81123">
            <w:pPr>
              <w:widowControl w:val="0"/>
              <w:pBdr>
                <w:top w:val="nil"/>
                <w:left w:val="nil"/>
                <w:bottom w:val="nil"/>
                <w:right w:val="nil"/>
                <w:between w:val="nil"/>
              </w:pBdr>
              <w:spacing w:before="240"/>
              <w:rPr>
                <w:rFonts w:ascii="Verdana" w:hAnsi="Verdana"/>
                <w:sz w:val="18"/>
                <w:szCs w:val="18"/>
              </w:rPr>
            </w:pPr>
            <w:r w:rsidRPr="009F0133">
              <w:rPr>
                <w:rFonts w:ascii="Verdana" w:hAnsi="Verdana"/>
                <w:sz w:val="18"/>
                <w:szCs w:val="18"/>
              </w:rPr>
              <w:t>“Radoša destrukcija” process, kurā uzņēmēji, meklējot jaunas peļņas iespējas</w:t>
            </w:r>
            <w:r w:rsidR="004B1314" w:rsidRPr="009F0133">
              <w:rPr>
                <w:rFonts w:ascii="Verdana" w:hAnsi="Verdana"/>
                <w:sz w:val="18"/>
                <w:szCs w:val="18"/>
              </w:rPr>
              <w:t>,</w:t>
            </w:r>
            <w:r w:rsidRPr="009F0133">
              <w:rPr>
                <w:rFonts w:ascii="Verdana" w:hAnsi="Verdana"/>
                <w:sz w:val="18"/>
                <w:szCs w:val="18"/>
              </w:rPr>
              <w:t xml:space="preserve"> rada jaunus produktus vai tehnoloģijas, kas aizstāj esošos</w:t>
            </w:r>
            <w:r w:rsidR="001F20D9" w:rsidRPr="009F0133">
              <w:rPr>
                <w:rFonts w:ascii="Verdana" w:hAnsi="Verdana"/>
                <w:sz w:val="18"/>
                <w:szCs w:val="18"/>
              </w:rPr>
              <w:t>,</w:t>
            </w:r>
            <w:r w:rsidRPr="009F0133">
              <w:rPr>
                <w:rFonts w:ascii="Verdana" w:hAnsi="Verdana"/>
                <w:sz w:val="18"/>
                <w:szCs w:val="18"/>
              </w:rPr>
              <w:t xml:space="preserve"> un kas uzņēmumiem ļauj izkonkurēt citam citu</w:t>
            </w:r>
            <w:r w:rsidR="00E81123">
              <w:rPr>
                <w:rFonts w:ascii="Verdana" w:hAnsi="Verdana"/>
                <w:sz w:val="18"/>
                <w:szCs w:val="18"/>
              </w:rPr>
              <w:t>.</w:t>
            </w:r>
            <w:r w:rsidRPr="009F0133">
              <w:rPr>
                <w:rFonts w:ascii="Verdana" w:hAnsi="Verdana"/>
                <w:sz w:val="18"/>
                <w:szCs w:val="18"/>
              </w:rPr>
              <w:t xml:space="preserve"> Uzņēmējspēja vai uzņēmēja gars </w:t>
            </w:r>
            <w:proofErr w:type="gramStart"/>
            <w:r w:rsidRPr="00C34D3C">
              <w:rPr>
                <w:rFonts w:ascii="Verdana" w:hAnsi="Verdana"/>
                <w:sz w:val="18"/>
                <w:szCs w:val="18"/>
              </w:rPr>
              <w:t>(</w:t>
            </w:r>
            <w:proofErr w:type="gramEnd"/>
            <w:r w:rsidRPr="009F0133">
              <w:rPr>
                <w:rFonts w:ascii="Verdana" w:hAnsi="Verdana"/>
                <w:sz w:val="18"/>
                <w:szCs w:val="18"/>
              </w:rPr>
              <w:t xml:space="preserve">vācu val. </w:t>
            </w:r>
            <w:proofErr w:type="spellStart"/>
            <w:r w:rsidRPr="009F0133">
              <w:rPr>
                <w:rFonts w:ascii="Verdana" w:hAnsi="Verdana"/>
                <w:i/>
                <w:sz w:val="18"/>
                <w:szCs w:val="18"/>
              </w:rPr>
              <w:t>Unternehmergeist</w:t>
            </w:r>
            <w:proofErr w:type="spellEnd"/>
            <w:r w:rsidRPr="009F0133">
              <w:rPr>
                <w:rFonts w:ascii="Verdana" w:hAnsi="Verdana"/>
                <w:sz w:val="18"/>
                <w:szCs w:val="18"/>
              </w:rPr>
              <w:t>) – uzņēmēju centieni darīt jaunas lietas, vai jau esošas lietas darīt jaunos veidos.</w:t>
            </w:r>
          </w:p>
          <w:p w14:paraId="7D26B7CB" w14:textId="77777777" w:rsidR="009E630B" w:rsidRPr="009F0133" w:rsidRDefault="00537EAA">
            <w:pPr>
              <w:widowControl w:val="0"/>
              <w:pBdr>
                <w:top w:val="nil"/>
                <w:left w:val="nil"/>
                <w:bottom w:val="nil"/>
                <w:right w:val="nil"/>
                <w:between w:val="nil"/>
              </w:pBdr>
              <w:rPr>
                <w:rFonts w:ascii="Verdana" w:hAnsi="Verdana"/>
                <w:i/>
                <w:sz w:val="18"/>
                <w:szCs w:val="18"/>
              </w:rPr>
            </w:pPr>
            <w:r w:rsidRPr="009F0133">
              <w:rPr>
                <w:rFonts w:ascii="Verdana" w:hAnsi="Verdana"/>
                <w:sz w:val="18"/>
                <w:szCs w:val="18"/>
              </w:rPr>
              <w:br/>
            </w:r>
            <w:r w:rsidRPr="009F0133">
              <w:rPr>
                <w:rFonts w:ascii="Verdana" w:hAnsi="Verdana"/>
                <w:i/>
                <w:sz w:val="18"/>
                <w:szCs w:val="18"/>
                <w:lang w:val="en-GB"/>
              </w:rPr>
              <w:t>Creative destruction refers to the incessant product and process innovation mechanism by which new production units replace outdated ones</w:t>
            </w:r>
            <w:r w:rsidRPr="009F0133">
              <w:rPr>
                <w:rFonts w:ascii="Verdana" w:hAnsi="Verdana"/>
                <w:i/>
                <w:sz w:val="18"/>
                <w:szCs w:val="18"/>
              </w:rPr>
              <w:t xml:space="preserve">. </w:t>
            </w:r>
          </w:p>
        </w:tc>
      </w:tr>
      <w:tr w:rsidR="009E630B" w:rsidRPr="009F0133" w14:paraId="71903407" w14:textId="77777777" w:rsidTr="006A2DB8">
        <w:trPr>
          <w:trHeight w:val="1832"/>
        </w:trPr>
        <w:tc>
          <w:tcPr>
            <w:tcW w:w="2268" w:type="dxa"/>
          </w:tcPr>
          <w:p w14:paraId="4C937306" w14:textId="77777777" w:rsidR="009E630B" w:rsidRPr="00D1380A" w:rsidRDefault="00537EAA" w:rsidP="00D1380A">
            <w:pPr>
              <w:widowControl w:val="0"/>
              <w:rPr>
                <w:rFonts w:ascii="Verdana" w:hAnsi="Verdana"/>
                <w:b/>
                <w:sz w:val="18"/>
                <w:szCs w:val="18"/>
              </w:rPr>
            </w:pPr>
            <w:r w:rsidRPr="00D1380A">
              <w:rPr>
                <w:rFonts w:ascii="Verdana" w:hAnsi="Verdana"/>
                <w:b/>
                <w:sz w:val="18"/>
                <w:szCs w:val="18"/>
              </w:rPr>
              <w:lastRenderedPageBreak/>
              <w:t>Kopējā faktoru produ</w:t>
            </w:r>
            <w:r w:rsidR="00001859" w:rsidRPr="00D1380A">
              <w:rPr>
                <w:rFonts w:ascii="Verdana" w:hAnsi="Verdana"/>
                <w:b/>
                <w:sz w:val="18"/>
                <w:szCs w:val="18"/>
              </w:rPr>
              <w:t>k</w:t>
            </w:r>
            <w:r w:rsidRPr="00D1380A">
              <w:rPr>
                <w:rFonts w:ascii="Verdana" w:hAnsi="Verdana"/>
                <w:b/>
                <w:sz w:val="18"/>
                <w:szCs w:val="18"/>
              </w:rPr>
              <w:t>tivitāte</w:t>
            </w:r>
          </w:p>
          <w:p w14:paraId="4FB07DF4" w14:textId="77777777" w:rsidR="009E630B" w:rsidRPr="009F0133" w:rsidRDefault="00537EAA" w:rsidP="00BC40B3">
            <w:pPr>
              <w:widowControl w:val="0"/>
              <w:spacing w:before="240"/>
              <w:rPr>
                <w:rFonts w:ascii="Verdana" w:hAnsi="Verdana"/>
                <w:i/>
                <w:sz w:val="18"/>
                <w:szCs w:val="18"/>
                <w:lang w:val="en-GB"/>
              </w:rPr>
            </w:pPr>
            <w:r w:rsidRPr="009F0133">
              <w:rPr>
                <w:rFonts w:ascii="Verdana" w:hAnsi="Verdana"/>
                <w:i/>
                <w:sz w:val="18"/>
                <w:szCs w:val="18"/>
                <w:lang w:val="en-GB"/>
              </w:rPr>
              <w:t>Total Factor Productivity</w:t>
            </w:r>
          </w:p>
        </w:tc>
        <w:tc>
          <w:tcPr>
            <w:tcW w:w="6732" w:type="dxa"/>
          </w:tcPr>
          <w:p w14:paraId="40DCCC23" w14:textId="0C5F4912" w:rsidR="009E630B" w:rsidRPr="009F0133" w:rsidRDefault="00537EAA" w:rsidP="00CD70DA">
            <w:pPr>
              <w:widowControl w:val="0"/>
              <w:rPr>
                <w:rFonts w:ascii="Verdana" w:hAnsi="Verdana"/>
                <w:sz w:val="18"/>
                <w:szCs w:val="18"/>
              </w:rPr>
            </w:pPr>
            <w:r w:rsidRPr="009F0133">
              <w:rPr>
                <w:rFonts w:ascii="Verdana" w:hAnsi="Verdana"/>
                <w:sz w:val="18"/>
                <w:szCs w:val="18"/>
              </w:rPr>
              <w:t xml:space="preserve">Ekonomikas izaugsmes ātrums ir atkarīgs no Total Factor </w:t>
            </w:r>
            <w:r w:rsidR="000E0596" w:rsidRPr="009F0133">
              <w:rPr>
                <w:rFonts w:ascii="Verdana" w:hAnsi="Verdana"/>
                <w:sz w:val="18"/>
                <w:szCs w:val="18"/>
              </w:rPr>
              <w:t>Productivity</w:t>
            </w:r>
            <w:r w:rsidRPr="009F0133">
              <w:rPr>
                <w:rFonts w:ascii="Verdana" w:hAnsi="Verdana"/>
                <w:sz w:val="18"/>
                <w:szCs w:val="18"/>
              </w:rPr>
              <w:t xml:space="preserve"> </w:t>
            </w:r>
            <w:r w:rsidR="000E0596" w:rsidRPr="009F0133">
              <w:rPr>
                <w:rFonts w:ascii="Verdana" w:hAnsi="Verdana"/>
                <w:sz w:val="18"/>
                <w:szCs w:val="18"/>
              </w:rPr>
              <w:t xml:space="preserve">(TFP) </w:t>
            </w:r>
            <w:r w:rsidRPr="009F0133">
              <w:rPr>
                <w:rFonts w:ascii="Verdana" w:hAnsi="Verdana"/>
                <w:sz w:val="18"/>
                <w:szCs w:val="18"/>
              </w:rPr>
              <w:t xml:space="preserve">pieauguma ātruma, ko nosaka tehnoloģiju progresa pieauguma ātrums. </w:t>
            </w:r>
            <w:r w:rsidRPr="009F0133">
              <w:rPr>
                <w:rFonts w:ascii="Verdana" w:hAnsi="Verdana"/>
                <w:sz w:val="18"/>
                <w:szCs w:val="18"/>
              </w:rPr>
              <w:br/>
              <w:t>Kanāli, caur kuriem ekonomikas faktori ietekmē tehnoloģiju progresu un attiecīgi ilgtermiņa ekonomikas izaugsmi:</w:t>
            </w:r>
            <w:r w:rsidRPr="009F0133">
              <w:rPr>
                <w:rFonts w:ascii="Verdana" w:hAnsi="Verdana"/>
                <w:sz w:val="18"/>
                <w:szCs w:val="18"/>
              </w:rPr>
              <w:br/>
            </w:r>
            <w:r w:rsidR="009965BB" w:rsidRPr="009F0133">
              <w:rPr>
                <w:rFonts w:ascii="Verdana" w:hAnsi="Verdana"/>
                <w:sz w:val="18"/>
                <w:szCs w:val="18"/>
              </w:rPr>
              <w:t xml:space="preserve"> - </w:t>
            </w:r>
            <w:r w:rsidRPr="009F0133">
              <w:rPr>
                <w:rFonts w:ascii="Verdana" w:hAnsi="Verdana"/>
                <w:sz w:val="18"/>
                <w:szCs w:val="18"/>
              </w:rPr>
              <w:t>Cilvēkkapitāls pieaug caur izglītību un sadarbības tīkliem;</w:t>
            </w:r>
            <w:r w:rsidRPr="009F0133">
              <w:rPr>
                <w:rFonts w:ascii="Verdana" w:hAnsi="Verdana"/>
                <w:sz w:val="18"/>
                <w:szCs w:val="18"/>
              </w:rPr>
              <w:br/>
              <w:t xml:space="preserve"> - Fiziskais kapitāls pieaug caur uzkrājumiem</w:t>
            </w:r>
            <w:r w:rsidR="00245796">
              <w:rPr>
                <w:rFonts w:ascii="Verdana" w:hAnsi="Verdana"/>
                <w:sz w:val="18"/>
                <w:szCs w:val="18"/>
              </w:rPr>
              <w:t>;</w:t>
            </w:r>
            <w:r w:rsidRPr="009F0133">
              <w:rPr>
                <w:rFonts w:ascii="Verdana" w:hAnsi="Verdana"/>
                <w:sz w:val="18"/>
                <w:szCs w:val="18"/>
              </w:rPr>
              <w:br/>
              <w:t xml:space="preserve"> - Intelektuālais kapitāls pieaug caur inovācijām</w:t>
            </w:r>
            <w:r w:rsidR="00245796">
              <w:rPr>
                <w:rFonts w:ascii="Verdana" w:hAnsi="Verdana"/>
                <w:sz w:val="18"/>
                <w:szCs w:val="18"/>
              </w:rPr>
              <w:t>.</w:t>
            </w:r>
            <w:r w:rsidRPr="009F0133">
              <w:rPr>
                <w:rFonts w:ascii="Verdana" w:hAnsi="Verdana"/>
                <w:sz w:val="18"/>
                <w:szCs w:val="18"/>
              </w:rPr>
              <w:br/>
              <w:t>Kopējo produktivitāti pozitīvi ietekmē produktu daudzveidības pakāpe.</w:t>
            </w:r>
          </w:p>
        </w:tc>
      </w:tr>
      <w:tr w:rsidR="009E630B" w:rsidRPr="009F0133" w14:paraId="68FDF42E" w14:textId="77777777" w:rsidTr="006A2DB8">
        <w:trPr>
          <w:trHeight w:val="1986"/>
        </w:trPr>
        <w:tc>
          <w:tcPr>
            <w:tcW w:w="2268" w:type="dxa"/>
          </w:tcPr>
          <w:p w14:paraId="4428DE2A" w14:textId="77777777" w:rsidR="009E630B" w:rsidRPr="00D1380A" w:rsidRDefault="00537EAA" w:rsidP="00D1380A">
            <w:pPr>
              <w:widowControl w:val="0"/>
              <w:rPr>
                <w:rFonts w:ascii="Verdana" w:hAnsi="Verdana"/>
                <w:b/>
                <w:sz w:val="18"/>
                <w:szCs w:val="18"/>
              </w:rPr>
            </w:pPr>
            <w:r w:rsidRPr="00D1380A">
              <w:rPr>
                <w:rFonts w:ascii="Verdana" w:hAnsi="Verdana"/>
                <w:b/>
                <w:sz w:val="18"/>
                <w:szCs w:val="18"/>
              </w:rPr>
              <w:t>Endogēnā (</w:t>
            </w:r>
            <w:proofErr w:type="spellStart"/>
            <w:r w:rsidRPr="00D1380A">
              <w:rPr>
                <w:rFonts w:ascii="Verdana" w:hAnsi="Verdana"/>
                <w:b/>
                <w:sz w:val="18"/>
                <w:szCs w:val="18"/>
              </w:rPr>
              <w:t>iz)augsme</w:t>
            </w:r>
            <w:proofErr w:type="spellEnd"/>
          </w:p>
          <w:p w14:paraId="6EDFC134" w14:textId="77777777" w:rsidR="000255A8" w:rsidRPr="009F0133" w:rsidRDefault="000255A8" w:rsidP="000255A8">
            <w:pPr>
              <w:widowControl w:val="0"/>
              <w:rPr>
                <w:rFonts w:ascii="Verdana" w:hAnsi="Verdana"/>
                <w:i/>
                <w:sz w:val="18"/>
                <w:szCs w:val="18"/>
                <w:lang w:val="en-US"/>
              </w:rPr>
            </w:pPr>
          </w:p>
          <w:p w14:paraId="1903E0D4" w14:textId="77777777" w:rsidR="009E630B" w:rsidRPr="009F0133" w:rsidRDefault="00537EAA" w:rsidP="000255A8">
            <w:pPr>
              <w:widowControl w:val="0"/>
              <w:rPr>
                <w:rFonts w:ascii="Verdana" w:hAnsi="Verdana"/>
                <w:i/>
                <w:sz w:val="18"/>
                <w:szCs w:val="18"/>
                <w:lang w:val="en-US"/>
              </w:rPr>
            </w:pPr>
            <w:r w:rsidRPr="009F0133">
              <w:rPr>
                <w:rFonts w:ascii="Verdana" w:hAnsi="Verdana"/>
                <w:i/>
                <w:sz w:val="18"/>
                <w:szCs w:val="18"/>
                <w:lang w:val="en-US"/>
              </w:rPr>
              <w:t>Endogenous growth</w:t>
            </w:r>
          </w:p>
        </w:tc>
        <w:tc>
          <w:tcPr>
            <w:tcW w:w="6732" w:type="dxa"/>
          </w:tcPr>
          <w:p w14:paraId="44D4DF16" w14:textId="41C7CA80" w:rsidR="000E0596" w:rsidRPr="009F0133" w:rsidRDefault="00537EAA" w:rsidP="00001859">
            <w:pPr>
              <w:widowControl w:val="0"/>
              <w:pBdr>
                <w:top w:val="nil"/>
                <w:left w:val="nil"/>
                <w:bottom w:val="nil"/>
                <w:right w:val="nil"/>
                <w:between w:val="nil"/>
              </w:pBdr>
              <w:spacing w:before="240"/>
              <w:rPr>
                <w:rFonts w:ascii="Verdana" w:hAnsi="Verdana"/>
                <w:sz w:val="18"/>
                <w:szCs w:val="18"/>
              </w:rPr>
            </w:pPr>
            <w:r w:rsidRPr="009F0133">
              <w:rPr>
                <w:rFonts w:ascii="Verdana" w:hAnsi="Verdana"/>
                <w:sz w:val="18"/>
                <w:szCs w:val="18"/>
              </w:rPr>
              <w:t xml:space="preserve">Ekonomikas teorija, kas par ilgtermiņa izaugsmes avotu uzskata cilvēku ekonomiskās aktivitātes, kas rada jaunas tehnoloģiskās zināšanas. Izaugsmes apjomu nosaka faktori, kas iekšēji ekonomikas sistēmai – faktori/spēki, kas pārvalda iespējas un stimulus radīt tehnoloģiskas zināšanas. Izaugsmi stimulē investīcijas cilvēkkapitālā, inovācijās un zināšanās. </w:t>
            </w:r>
            <w:r w:rsidR="000E0596" w:rsidRPr="009F0133">
              <w:rPr>
                <w:rFonts w:ascii="Verdana" w:hAnsi="Verdana"/>
                <w:sz w:val="18"/>
                <w:szCs w:val="18"/>
              </w:rPr>
              <w:t xml:space="preserve"> </w:t>
            </w:r>
          </w:p>
          <w:p w14:paraId="357F2011" w14:textId="77777777" w:rsidR="009E630B" w:rsidRPr="009F0133" w:rsidRDefault="00537EAA" w:rsidP="00001859">
            <w:pPr>
              <w:widowControl w:val="0"/>
              <w:pBdr>
                <w:top w:val="nil"/>
                <w:left w:val="nil"/>
                <w:bottom w:val="nil"/>
                <w:right w:val="nil"/>
                <w:between w:val="nil"/>
              </w:pBdr>
              <w:spacing w:before="240"/>
              <w:rPr>
                <w:rFonts w:ascii="Verdana" w:hAnsi="Verdana"/>
                <w:sz w:val="18"/>
                <w:szCs w:val="18"/>
              </w:rPr>
            </w:pPr>
            <w:r w:rsidRPr="009F0133">
              <w:rPr>
                <w:rFonts w:ascii="Verdana" w:hAnsi="Verdana"/>
                <w:sz w:val="18"/>
                <w:szCs w:val="18"/>
              </w:rPr>
              <w:t>Rīcībpolitikai ir nozīme</w:t>
            </w:r>
            <w:r w:rsidR="000E0596" w:rsidRPr="009F0133">
              <w:rPr>
                <w:rFonts w:ascii="Verdana" w:hAnsi="Verdana"/>
                <w:sz w:val="18"/>
                <w:szCs w:val="18"/>
              </w:rPr>
              <w:t xml:space="preserve">: </w:t>
            </w:r>
            <w:r w:rsidRPr="009F0133">
              <w:rPr>
                <w:rFonts w:ascii="Verdana" w:hAnsi="Verdana"/>
                <w:sz w:val="18"/>
                <w:szCs w:val="18"/>
              </w:rPr>
              <w:t xml:space="preserve">subsidēta pētniecība (P&amp;A) un izglītība palielina izaugsmes tempu, jo palielina stimulu inovācijām. </w:t>
            </w:r>
          </w:p>
        </w:tc>
      </w:tr>
      <w:tr w:rsidR="009E630B" w:rsidRPr="009F0133" w14:paraId="37A049D2" w14:textId="77777777" w:rsidTr="006A2DB8">
        <w:trPr>
          <w:trHeight w:val="2113"/>
        </w:trPr>
        <w:tc>
          <w:tcPr>
            <w:tcW w:w="2268" w:type="dxa"/>
          </w:tcPr>
          <w:p w14:paraId="718D77E7" w14:textId="77777777" w:rsidR="006604AC" w:rsidRPr="009F0133" w:rsidRDefault="00537EAA" w:rsidP="00001859">
            <w:pPr>
              <w:widowControl w:val="0"/>
              <w:spacing w:before="240"/>
              <w:rPr>
                <w:rFonts w:ascii="Verdana" w:hAnsi="Verdana"/>
                <w:b/>
                <w:sz w:val="18"/>
                <w:szCs w:val="18"/>
              </w:rPr>
            </w:pPr>
            <w:r w:rsidRPr="009F0133">
              <w:rPr>
                <w:rFonts w:ascii="Verdana" w:hAnsi="Verdana"/>
                <w:b/>
                <w:sz w:val="18"/>
                <w:szCs w:val="18"/>
              </w:rPr>
              <w:t xml:space="preserve">Zināšanu daba, pārplūdes efekts, pozitīvas blaknes </w:t>
            </w:r>
          </w:p>
          <w:p w14:paraId="6C2FE97E" w14:textId="77CAAF3B" w:rsidR="009E630B" w:rsidRPr="009F0133" w:rsidRDefault="006604AC" w:rsidP="00F0482F">
            <w:pPr>
              <w:widowControl w:val="0"/>
              <w:spacing w:before="240"/>
              <w:rPr>
                <w:rFonts w:ascii="Verdana" w:hAnsi="Verdana"/>
                <w:i/>
                <w:sz w:val="18"/>
                <w:szCs w:val="18"/>
                <w:lang w:val="en-GB"/>
              </w:rPr>
            </w:pPr>
            <w:r w:rsidRPr="009F0133">
              <w:rPr>
                <w:rFonts w:ascii="Verdana" w:hAnsi="Verdana"/>
                <w:i/>
                <w:sz w:val="18"/>
                <w:szCs w:val="18"/>
                <w:lang w:val="en-GB"/>
              </w:rPr>
              <w:t xml:space="preserve">Know-how, </w:t>
            </w:r>
            <w:proofErr w:type="spellStart"/>
            <w:r w:rsidR="00537EAA" w:rsidRPr="009F0133">
              <w:rPr>
                <w:rFonts w:ascii="Verdana" w:hAnsi="Verdana"/>
                <w:i/>
                <w:sz w:val="18"/>
                <w:szCs w:val="18"/>
                <w:lang w:val="en-GB"/>
              </w:rPr>
              <w:t>Spillover</w:t>
            </w:r>
            <w:proofErr w:type="spellEnd"/>
            <w:r w:rsidR="00537EAA" w:rsidRPr="009F0133">
              <w:rPr>
                <w:rFonts w:ascii="Verdana" w:hAnsi="Verdana"/>
                <w:i/>
                <w:sz w:val="18"/>
                <w:szCs w:val="18"/>
                <w:lang w:val="en-GB"/>
              </w:rPr>
              <w:t xml:space="preserve"> effect</w:t>
            </w:r>
            <w:r w:rsidR="00F0482F" w:rsidRPr="009F0133">
              <w:rPr>
                <w:rFonts w:ascii="Verdana" w:hAnsi="Verdana"/>
                <w:i/>
                <w:sz w:val="18"/>
                <w:szCs w:val="18"/>
                <w:lang w:val="en-GB"/>
              </w:rPr>
              <w:t xml:space="preserve">, </w:t>
            </w:r>
            <w:r w:rsidR="00537EAA" w:rsidRPr="009F0133">
              <w:rPr>
                <w:rFonts w:ascii="Verdana" w:hAnsi="Verdana"/>
                <w:i/>
                <w:sz w:val="18"/>
                <w:szCs w:val="18"/>
                <w:lang w:val="en-GB"/>
              </w:rPr>
              <w:t>Positive externalities</w:t>
            </w:r>
          </w:p>
        </w:tc>
        <w:tc>
          <w:tcPr>
            <w:tcW w:w="6732" w:type="dxa"/>
          </w:tcPr>
          <w:p w14:paraId="051D7A04" w14:textId="77777777" w:rsidR="006604AC" w:rsidRPr="009F0133" w:rsidRDefault="00537EAA" w:rsidP="00001859">
            <w:pPr>
              <w:widowControl w:val="0"/>
              <w:pBdr>
                <w:top w:val="nil"/>
                <w:left w:val="nil"/>
                <w:bottom w:val="nil"/>
                <w:right w:val="nil"/>
                <w:between w:val="nil"/>
              </w:pBdr>
              <w:spacing w:before="240"/>
              <w:rPr>
                <w:rFonts w:ascii="Verdana" w:hAnsi="Verdana"/>
                <w:sz w:val="18"/>
                <w:szCs w:val="18"/>
              </w:rPr>
            </w:pPr>
            <w:r w:rsidRPr="009F0133">
              <w:rPr>
                <w:rFonts w:ascii="Verdana" w:hAnsi="Verdana"/>
                <w:sz w:val="18"/>
                <w:szCs w:val="18"/>
              </w:rPr>
              <w:t xml:space="preserve">Idejām ir paradoksāla daba - tās nav publisks labums, bet privāts, piederošs konkrētiem uzņēmumiem. </w:t>
            </w:r>
            <w:r w:rsidR="006604AC" w:rsidRPr="009F0133">
              <w:rPr>
                <w:rFonts w:ascii="Verdana" w:hAnsi="Verdana"/>
                <w:sz w:val="18"/>
                <w:szCs w:val="18"/>
              </w:rPr>
              <w:t>Tai pašā laikā</w:t>
            </w:r>
            <w:r w:rsidRPr="009F0133">
              <w:rPr>
                <w:rFonts w:ascii="Verdana" w:hAnsi="Verdana"/>
                <w:sz w:val="18"/>
                <w:szCs w:val="18"/>
              </w:rPr>
              <w:t xml:space="preserve"> vienas un tās pašas zināšanas un idejas var lietot daudzi. Privātās investīcijas tehnoloģiju attīstībā stimulē patentu tiesības, kas ļauj gūt peļņu no investīcijām.</w:t>
            </w:r>
          </w:p>
          <w:p w14:paraId="56DEAD04" w14:textId="77777777" w:rsidR="009E630B" w:rsidRPr="009F0133" w:rsidRDefault="00537EAA" w:rsidP="00001859">
            <w:pPr>
              <w:widowControl w:val="0"/>
              <w:pBdr>
                <w:top w:val="nil"/>
                <w:left w:val="nil"/>
                <w:bottom w:val="nil"/>
                <w:right w:val="nil"/>
                <w:between w:val="nil"/>
              </w:pBdr>
              <w:spacing w:before="240"/>
              <w:rPr>
                <w:rFonts w:ascii="Verdana" w:hAnsi="Verdana"/>
                <w:sz w:val="18"/>
                <w:szCs w:val="18"/>
              </w:rPr>
            </w:pPr>
            <w:r w:rsidRPr="009F0133">
              <w:rPr>
                <w:rFonts w:ascii="Verdana" w:hAnsi="Verdana"/>
                <w:sz w:val="18"/>
                <w:szCs w:val="18"/>
              </w:rPr>
              <w:t>Zināšanu ekonomikai ir raksturīgas ekonomisko aktivitāšu pozitīvās blaknes (</w:t>
            </w:r>
            <w:r w:rsidRPr="009F0133">
              <w:rPr>
                <w:rFonts w:ascii="Verdana" w:hAnsi="Verdana"/>
                <w:i/>
                <w:sz w:val="18"/>
                <w:szCs w:val="18"/>
                <w:lang w:val="en-GB"/>
              </w:rPr>
              <w:t>externalities</w:t>
            </w:r>
            <w:r w:rsidRPr="009F0133">
              <w:rPr>
                <w:rFonts w:ascii="Verdana" w:hAnsi="Verdana"/>
                <w:sz w:val="18"/>
                <w:szCs w:val="18"/>
              </w:rPr>
              <w:t>) un pārplūdes (</w:t>
            </w:r>
            <w:r w:rsidRPr="009F0133">
              <w:rPr>
                <w:rFonts w:ascii="Verdana" w:hAnsi="Verdana"/>
                <w:i/>
                <w:sz w:val="18"/>
                <w:szCs w:val="18"/>
                <w:lang w:val="en-GB"/>
              </w:rPr>
              <w:t>spillover effects</w:t>
            </w:r>
            <w:r w:rsidRPr="009F0133">
              <w:rPr>
                <w:rFonts w:ascii="Verdana" w:hAnsi="Verdana"/>
                <w:sz w:val="18"/>
                <w:szCs w:val="18"/>
                <w:lang w:val="en-GB"/>
              </w:rPr>
              <w:t xml:space="preserve">). </w:t>
            </w:r>
            <w:r w:rsidRPr="009F0133">
              <w:rPr>
                <w:rFonts w:ascii="Verdana" w:hAnsi="Verdana"/>
                <w:sz w:val="18"/>
                <w:szCs w:val="18"/>
              </w:rPr>
              <w:t>Valstij ir jāinvestē idejās, jo privātie spēl</w:t>
            </w:r>
            <w:r w:rsidR="006604AC" w:rsidRPr="009F0133">
              <w:rPr>
                <w:rFonts w:ascii="Verdana" w:hAnsi="Verdana"/>
                <w:sz w:val="18"/>
                <w:szCs w:val="18"/>
              </w:rPr>
              <w:t>ē</w:t>
            </w:r>
            <w:r w:rsidRPr="009F0133">
              <w:rPr>
                <w:rFonts w:ascii="Verdana" w:hAnsi="Verdana"/>
                <w:sz w:val="18"/>
                <w:szCs w:val="18"/>
              </w:rPr>
              <w:t xml:space="preserve">tāji to dara (izaugsmei) nepietiekošā apjomā, jo nespēj atpelnīt savas investīcijas. </w:t>
            </w:r>
          </w:p>
        </w:tc>
      </w:tr>
      <w:tr w:rsidR="009E630B" w:rsidRPr="009F0133" w14:paraId="61C1A679" w14:textId="77777777" w:rsidTr="006A2DB8">
        <w:trPr>
          <w:trHeight w:val="451"/>
        </w:trPr>
        <w:tc>
          <w:tcPr>
            <w:tcW w:w="2268" w:type="dxa"/>
          </w:tcPr>
          <w:p w14:paraId="1B3CCF30" w14:textId="77777777" w:rsidR="009E630B" w:rsidRPr="009F0133" w:rsidRDefault="00537EAA" w:rsidP="006604AC">
            <w:pPr>
              <w:widowControl w:val="0"/>
              <w:pBdr>
                <w:top w:val="nil"/>
                <w:left w:val="nil"/>
                <w:bottom w:val="nil"/>
                <w:right w:val="nil"/>
                <w:between w:val="nil"/>
              </w:pBdr>
              <w:spacing w:before="240"/>
              <w:rPr>
                <w:rFonts w:ascii="Verdana" w:hAnsi="Verdana"/>
                <w:b/>
                <w:sz w:val="18"/>
                <w:szCs w:val="18"/>
              </w:rPr>
            </w:pPr>
            <w:r w:rsidRPr="009F0133">
              <w:rPr>
                <w:rFonts w:ascii="Verdana" w:hAnsi="Verdana"/>
                <w:b/>
                <w:sz w:val="18"/>
                <w:szCs w:val="18"/>
              </w:rPr>
              <w:t>Inovāciju ekosistēma</w:t>
            </w:r>
          </w:p>
          <w:p w14:paraId="06E52C5F" w14:textId="77777777" w:rsidR="009E630B" w:rsidRPr="009F0133" w:rsidRDefault="00537EAA" w:rsidP="006604AC">
            <w:pPr>
              <w:widowControl w:val="0"/>
              <w:pBdr>
                <w:top w:val="nil"/>
                <w:left w:val="nil"/>
                <w:bottom w:val="nil"/>
                <w:right w:val="nil"/>
                <w:between w:val="nil"/>
              </w:pBdr>
              <w:spacing w:before="240"/>
              <w:rPr>
                <w:rFonts w:ascii="Verdana" w:hAnsi="Verdana"/>
                <w:i/>
                <w:sz w:val="18"/>
                <w:szCs w:val="18"/>
                <w:lang w:val="en-GB"/>
              </w:rPr>
            </w:pPr>
            <w:r w:rsidRPr="009F0133">
              <w:rPr>
                <w:rFonts w:ascii="Verdana" w:hAnsi="Verdana"/>
                <w:i/>
                <w:sz w:val="18"/>
                <w:szCs w:val="18"/>
                <w:lang w:val="en-GB"/>
              </w:rPr>
              <w:t>Innovation ecosystem</w:t>
            </w:r>
          </w:p>
        </w:tc>
        <w:tc>
          <w:tcPr>
            <w:tcW w:w="6732" w:type="dxa"/>
          </w:tcPr>
          <w:p w14:paraId="20E3FA60" w14:textId="77777777" w:rsidR="009E630B" w:rsidRPr="009F0133" w:rsidRDefault="00537EAA" w:rsidP="006604AC">
            <w:pPr>
              <w:widowControl w:val="0"/>
              <w:pBdr>
                <w:top w:val="nil"/>
                <w:left w:val="nil"/>
                <w:bottom w:val="nil"/>
                <w:right w:val="nil"/>
                <w:between w:val="nil"/>
              </w:pBdr>
              <w:spacing w:before="240"/>
              <w:rPr>
                <w:rFonts w:ascii="Verdana" w:hAnsi="Verdana"/>
                <w:sz w:val="18"/>
                <w:szCs w:val="18"/>
              </w:rPr>
            </w:pPr>
            <w:r w:rsidRPr="009F0133">
              <w:rPr>
                <w:rFonts w:ascii="Verdana" w:hAnsi="Verdana"/>
                <w:sz w:val="18"/>
                <w:szCs w:val="18"/>
              </w:rPr>
              <w:t>Ekosistēma bioloģijā ir attiecību komplekss, kas ietver teritorijas dzīvos resursus, biotopus, iemītniekus, kas tiecas uzturēt līdzsvaru.</w:t>
            </w:r>
            <w:r w:rsidR="006604AC" w:rsidRPr="009F0133">
              <w:rPr>
                <w:rFonts w:ascii="Verdana" w:hAnsi="Verdana"/>
                <w:sz w:val="18"/>
                <w:szCs w:val="18"/>
              </w:rPr>
              <w:t xml:space="preserve"> </w:t>
            </w:r>
            <w:r w:rsidRPr="009F0133">
              <w:rPr>
                <w:rFonts w:ascii="Verdana" w:hAnsi="Verdana"/>
                <w:sz w:val="18"/>
                <w:szCs w:val="18"/>
              </w:rPr>
              <w:t>Inovāciju ekosistēma modelē attiecību kompleksa, kas veidojas starp spēlētājiem, kuru funkcionālais mērķis ir tehnoloģiju attīstība un inovācijas, ekonomisko dinamiku.</w:t>
            </w:r>
          </w:p>
          <w:p w14:paraId="25950A87" w14:textId="085FADC1" w:rsidR="009E630B" w:rsidRPr="009F0133" w:rsidRDefault="00537EAA" w:rsidP="006604AC">
            <w:pPr>
              <w:widowControl w:val="0"/>
              <w:pBdr>
                <w:top w:val="nil"/>
                <w:left w:val="nil"/>
                <w:bottom w:val="nil"/>
                <w:right w:val="nil"/>
                <w:between w:val="nil"/>
              </w:pBdr>
              <w:spacing w:before="240"/>
              <w:rPr>
                <w:rFonts w:ascii="Verdana" w:hAnsi="Verdana"/>
                <w:sz w:val="18"/>
                <w:szCs w:val="18"/>
              </w:rPr>
            </w:pPr>
            <w:r w:rsidRPr="009F0133">
              <w:rPr>
                <w:rFonts w:ascii="Verdana" w:hAnsi="Verdana"/>
                <w:sz w:val="18"/>
                <w:szCs w:val="18"/>
              </w:rPr>
              <w:t>Inovāciju ekosistēmas ietver</w:t>
            </w:r>
            <w:r w:rsidR="006604AC" w:rsidRPr="009F0133">
              <w:rPr>
                <w:rFonts w:ascii="Verdana" w:hAnsi="Verdana"/>
                <w:sz w:val="18"/>
                <w:szCs w:val="18"/>
              </w:rPr>
              <w:t xml:space="preserve"> arī m</w:t>
            </w:r>
            <w:r w:rsidRPr="009F0133">
              <w:rPr>
                <w:rFonts w:ascii="Verdana" w:hAnsi="Verdana"/>
                <w:sz w:val="18"/>
                <w:szCs w:val="18"/>
              </w:rPr>
              <w:t>ateriālos resursus – finansējumu, aprīkojumu, telpas.</w:t>
            </w:r>
            <w:r w:rsidR="009729FB" w:rsidRPr="009F0133">
              <w:rPr>
                <w:rFonts w:ascii="Verdana" w:hAnsi="Verdana"/>
                <w:sz w:val="18"/>
                <w:szCs w:val="18"/>
              </w:rPr>
              <w:t xml:space="preserve"> </w:t>
            </w:r>
            <w:r w:rsidRPr="009F0133">
              <w:rPr>
                <w:rFonts w:ascii="Verdana" w:hAnsi="Verdana"/>
                <w:sz w:val="18"/>
                <w:szCs w:val="18"/>
              </w:rPr>
              <w:t>Inovāciju ekosistēmu veido divas atšķirīgas ekonomikas</w:t>
            </w:r>
            <w:r w:rsidR="003A41AE">
              <w:rPr>
                <w:rFonts w:ascii="Verdana" w:hAnsi="Verdana"/>
                <w:sz w:val="18"/>
                <w:szCs w:val="18"/>
              </w:rPr>
              <w:t xml:space="preserve">: </w:t>
            </w:r>
            <w:r w:rsidRPr="009F0133">
              <w:rPr>
                <w:rFonts w:ascii="Verdana" w:hAnsi="Verdana"/>
                <w:sz w:val="18"/>
                <w:szCs w:val="18"/>
              </w:rPr>
              <w:t>pētniecības, ko virza fundamentālā pētniecība</w:t>
            </w:r>
            <w:r w:rsidR="002E669A" w:rsidRPr="009F0133">
              <w:rPr>
                <w:rFonts w:ascii="Verdana" w:hAnsi="Verdana"/>
                <w:sz w:val="18"/>
                <w:szCs w:val="18"/>
              </w:rPr>
              <w:t>,</w:t>
            </w:r>
            <w:r w:rsidR="002725BB">
              <w:rPr>
                <w:rFonts w:ascii="Verdana" w:hAnsi="Verdana"/>
                <w:sz w:val="18"/>
                <w:szCs w:val="18"/>
              </w:rPr>
              <w:t xml:space="preserve"> </w:t>
            </w:r>
            <w:r w:rsidRPr="009F0133">
              <w:rPr>
                <w:rFonts w:ascii="Verdana" w:hAnsi="Verdana"/>
                <w:sz w:val="18"/>
                <w:szCs w:val="18"/>
              </w:rPr>
              <w:t>un</w:t>
            </w:r>
            <w:r w:rsidR="002725BB">
              <w:rPr>
                <w:rFonts w:ascii="Verdana" w:hAnsi="Verdana"/>
                <w:sz w:val="18"/>
                <w:szCs w:val="18"/>
              </w:rPr>
              <w:t xml:space="preserve"> </w:t>
            </w:r>
            <w:r w:rsidRPr="009F0133">
              <w:rPr>
                <w:rFonts w:ascii="Verdana" w:hAnsi="Verdana"/>
                <w:sz w:val="18"/>
                <w:szCs w:val="18"/>
              </w:rPr>
              <w:t xml:space="preserve">komerciālā, ko virza tirgus. Tās ir netieši saistītas, jo no </w:t>
            </w:r>
            <w:proofErr w:type="spellStart"/>
            <w:r w:rsidRPr="009F0133">
              <w:rPr>
                <w:rFonts w:ascii="Verdana" w:hAnsi="Verdana"/>
                <w:sz w:val="18"/>
                <w:szCs w:val="18"/>
              </w:rPr>
              <w:t>komercsektora</w:t>
            </w:r>
            <w:proofErr w:type="spellEnd"/>
            <w:r w:rsidRPr="009F0133">
              <w:rPr>
                <w:rFonts w:ascii="Verdana" w:hAnsi="Verdana"/>
                <w:sz w:val="18"/>
                <w:szCs w:val="18"/>
              </w:rPr>
              <w:t xml:space="preserve"> nodokļu veidā iegūtos līdzekļus valdības iegulda pētniecības ekonomikā.</w:t>
            </w:r>
          </w:p>
        </w:tc>
      </w:tr>
      <w:tr w:rsidR="009E630B" w:rsidRPr="009F0133" w14:paraId="31B74D66" w14:textId="77777777" w:rsidTr="006A2DB8">
        <w:trPr>
          <w:trHeight w:val="1124"/>
        </w:trPr>
        <w:tc>
          <w:tcPr>
            <w:tcW w:w="2268" w:type="dxa"/>
          </w:tcPr>
          <w:p w14:paraId="5D1C4A18" w14:textId="77777777" w:rsidR="006604AC" w:rsidRPr="00F11AC5" w:rsidRDefault="00537EAA" w:rsidP="006604AC">
            <w:pPr>
              <w:widowControl w:val="0"/>
              <w:pBdr>
                <w:top w:val="nil"/>
                <w:left w:val="nil"/>
                <w:bottom w:val="nil"/>
                <w:right w:val="nil"/>
                <w:between w:val="nil"/>
              </w:pBdr>
              <w:spacing w:before="240"/>
              <w:rPr>
                <w:rFonts w:ascii="Verdana" w:hAnsi="Verdana"/>
                <w:b/>
                <w:sz w:val="18"/>
                <w:szCs w:val="18"/>
              </w:rPr>
            </w:pPr>
            <w:r w:rsidRPr="00F11AC5">
              <w:rPr>
                <w:rFonts w:ascii="Verdana" w:hAnsi="Verdana"/>
                <w:b/>
                <w:sz w:val="18"/>
                <w:szCs w:val="18"/>
              </w:rPr>
              <w:t xml:space="preserve">Nacionālā inovāciju sistēma </w:t>
            </w:r>
            <w:r w:rsidR="006604AC" w:rsidRPr="00F11AC5">
              <w:rPr>
                <w:rFonts w:ascii="Verdana" w:hAnsi="Verdana"/>
                <w:b/>
                <w:sz w:val="18"/>
                <w:szCs w:val="18"/>
              </w:rPr>
              <w:t>(NIS)</w:t>
            </w:r>
          </w:p>
          <w:p w14:paraId="21536844" w14:textId="77777777" w:rsidR="009E630B" w:rsidRPr="009F0133" w:rsidRDefault="00537EAA" w:rsidP="006604AC">
            <w:pPr>
              <w:widowControl w:val="0"/>
              <w:pBdr>
                <w:top w:val="nil"/>
                <w:left w:val="nil"/>
                <w:bottom w:val="nil"/>
                <w:right w:val="nil"/>
                <w:between w:val="nil"/>
              </w:pBdr>
              <w:spacing w:before="240"/>
              <w:rPr>
                <w:rFonts w:ascii="Verdana" w:hAnsi="Verdana"/>
                <w:i/>
                <w:sz w:val="18"/>
                <w:szCs w:val="18"/>
                <w:lang w:val="en-GB"/>
              </w:rPr>
            </w:pPr>
            <w:r w:rsidRPr="009F0133">
              <w:rPr>
                <w:rFonts w:ascii="Verdana" w:hAnsi="Verdana"/>
                <w:i/>
                <w:sz w:val="18"/>
                <w:szCs w:val="18"/>
                <w:lang w:val="en-GB"/>
              </w:rPr>
              <w:t>National Innovation System</w:t>
            </w:r>
          </w:p>
        </w:tc>
        <w:tc>
          <w:tcPr>
            <w:tcW w:w="6732" w:type="dxa"/>
          </w:tcPr>
          <w:p w14:paraId="17D3C19C" w14:textId="77777777" w:rsidR="009E630B" w:rsidRPr="009F0133" w:rsidRDefault="00537EAA" w:rsidP="006604AC">
            <w:pPr>
              <w:widowControl w:val="0"/>
              <w:pBdr>
                <w:top w:val="nil"/>
                <w:left w:val="nil"/>
                <w:bottom w:val="nil"/>
                <w:right w:val="nil"/>
                <w:between w:val="nil"/>
              </w:pBdr>
              <w:spacing w:before="240"/>
              <w:rPr>
                <w:rFonts w:ascii="Verdana" w:hAnsi="Verdana"/>
                <w:sz w:val="18"/>
                <w:szCs w:val="18"/>
              </w:rPr>
            </w:pPr>
            <w:r w:rsidRPr="009F0133">
              <w:rPr>
                <w:rFonts w:ascii="Verdana" w:hAnsi="Verdana"/>
                <w:sz w:val="18"/>
                <w:szCs w:val="18"/>
              </w:rPr>
              <w:t>NIS var definēt kā privātā sektora, augstākās izglītības institūciju, zinātnisko institūciju un valdības politikas mijiedarbības veidu, lai radītu zināšanas, kuras var pārvērst jaunos produktos, tehnoloģijās vai ražošanas procesos, kas sekmē uzņēmumu konkurences priekšrocības.</w:t>
            </w:r>
          </w:p>
        </w:tc>
      </w:tr>
      <w:tr w:rsidR="009E630B" w:rsidRPr="009F0133" w14:paraId="7646E2E8" w14:textId="77777777" w:rsidTr="006A2DB8">
        <w:trPr>
          <w:trHeight w:val="1126"/>
        </w:trPr>
        <w:tc>
          <w:tcPr>
            <w:tcW w:w="2268" w:type="dxa"/>
          </w:tcPr>
          <w:p w14:paraId="6020FFB8" w14:textId="77777777" w:rsidR="009E630B" w:rsidRPr="009F0133" w:rsidRDefault="00537EAA" w:rsidP="006604AC">
            <w:pPr>
              <w:widowControl w:val="0"/>
              <w:pBdr>
                <w:top w:val="nil"/>
                <w:left w:val="nil"/>
                <w:bottom w:val="nil"/>
                <w:right w:val="nil"/>
                <w:between w:val="nil"/>
              </w:pBdr>
              <w:spacing w:before="240"/>
              <w:rPr>
                <w:rFonts w:ascii="Verdana" w:hAnsi="Verdana"/>
                <w:b/>
                <w:sz w:val="18"/>
                <w:szCs w:val="18"/>
              </w:rPr>
            </w:pPr>
            <w:r w:rsidRPr="009F0133">
              <w:rPr>
                <w:rFonts w:ascii="Verdana" w:hAnsi="Verdana"/>
                <w:b/>
                <w:sz w:val="18"/>
                <w:szCs w:val="18"/>
              </w:rPr>
              <w:t>Cilvēkkapitāls</w:t>
            </w:r>
          </w:p>
          <w:p w14:paraId="6CFF227D" w14:textId="77777777" w:rsidR="009E630B" w:rsidRPr="009F0133" w:rsidRDefault="00537EAA" w:rsidP="006604AC">
            <w:pPr>
              <w:widowControl w:val="0"/>
              <w:pBdr>
                <w:top w:val="nil"/>
                <w:left w:val="nil"/>
                <w:bottom w:val="nil"/>
                <w:right w:val="nil"/>
                <w:between w:val="nil"/>
              </w:pBdr>
              <w:spacing w:before="240"/>
              <w:rPr>
                <w:rFonts w:ascii="Verdana" w:hAnsi="Verdana"/>
                <w:i/>
                <w:sz w:val="18"/>
                <w:szCs w:val="18"/>
                <w:lang w:val="en-GB"/>
              </w:rPr>
            </w:pPr>
            <w:r w:rsidRPr="009F0133">
              <w:rPr>
                <w:rFonts w:ascii="Verdana" w:hAnsi="Verdana"/>
                <w:i/>
                <w:sz w:val="18"/>
                <w:szCs w:val="18"/>
                <w:lang w:val="en-GB"/>
              </w:rPr>
              <w:t>Human capital</w:t>
            </w:r>
          </w:p>
        </w:tc>
        <w:tc>
          <w:tcPr>
            <w:tcW w:w="6732" w:type="dxa"/>
          </w:tcPr>
          <w:p w14:paraId="12DAFDCA" w14:textId="77777777" w:rsidR="009E630B" w:rsidRPr="009F0133" w:rsidRDefault="00537EAA" w:rsidP="006604AC">
            <w:pPr>
              <w:widowControl w:val="0"/>
              <w:pBdr>
                <w:top w:val="nil"/>
                <w:left w:val="nil"/>
                <w:bottom w:val="nil"/>
                <w:right w:val="nil"/>
                <w:between w:val="nil"/>
              </w:pBdr>
              <w:spacing w:before="240"/>
              <w:rPr>
                <w:rFonts w:ascii="Verdana" w:hAnsi="Verdana"/>
                <w:sz w:val="18"/>
                <w:szCs w:val="18"/>
              </w:rPr>
            </w:pPr>
            <w:r w:rsidRPr="009F0133">
              <w:rPr>
                <w:rFonts w:ascii="Verdana" w:hAnsi="Verdana"/>
                <w:sz w:val="18"/>
                <w:szCs w:val="18"/>
              </w:rPr>
              <w:t>Cilvēki ar tiem piederošajām zināšanām, prasmēm un sociālajām saitēm (paziņām), ko tie ir uzkrājuši izglītības un profesionālās dzīves laikā. Plašāki sociālo saišu tīkli nozīmē vairāk iespēju un piekļuvi daudzveidīgākiem resursiem.</w:t>
            </w:r>
          </w:p>
        </w:tc>
      </w:tr>
      <w:tr w:rsidR="009E630B" w:rsidRPr="009F0133" w14:paraId="3FF8465E" w14:textId="77777777" w:rsidTr="006A2DB8">
        <w:trPr>
          <w:trHeight w:val="2120"/>
        </w:trPr>
        <w:tc>
          <w:tcPr>
            <w:tcW w:w="2268" w:type="dxa"/>
          </w:tcPr>
          <w:p w14:paraId="187BC4C9" w14:textId="77777777" w:rsidR="006604AC" w:rsidRPr="009F0133" w:rsidRDefault="00537EAA" w:rsidP="006604AC">
            <w:pPr>
              <w:widowControl w:val="0"/>
              <w:spacing w:before="240"/>
              <w:rPr>
                <w:rFonts w:ascii="Verdana" w:hAnsi="Verdana"/>
                <w:b/>
                <w:sz w:val="18"/>
                <w:szCs w:val="18"/>
              </w:rPr>
            </w:pPr>
            <w:r w:rsidRPr="009F0133">
              <w:rPr>
                <w:rFonts w:ascii="Verdana" w:hAnsi="Verdana"/>
                <w:b/>
                <w:sz w:val="18"/>
                <w:szCs w:val="18"/>
              </w:rPr>
              <w:lastRenderedPageBreak/>
              <w:t>Uztveršanas spēja</w:t>
            </w:r>
          </w:p>
          <w:p w14:paraId="5F391913" w14:textId="77777777" w:rsidR="006604AC" w:rsidRPr="009F0133" w:rsidRDefault="006604AC">
            <w:pPr>
              <w:widowControl w:val="0"/>
              <w:spacing w:before="40"/>
              <w:rPr>
                <w:rFonts w:ascii="Verdana" w:eastAsia="Verdana" w:hAnsi="Verdana" w:cs="Verdana"/>
                <w:i/>
                <w:sz w:val="18"/>
                <w:szCs w:val="18"/>
              </w:rPr>
            </w:pPr>
          </w:p>
          <w:p w14:paraId="2C83E7BD" w14:textId="7CAEF221" w:rsidR="009E630B" w:rsidRPr="009F0133" w:rsidRDefault="0041561A">
            <w:pPr>
              <w:widowControl w:val="0"/>
              <w:spacing w:before="40"/>
              <w:rPr>
                <w:rFonts w:ascii="Verdana" w:hAnsi="Verdana"/>
                <w:i/>
                <w:sz w:val="18"/>
                <w:szCs w:val="18"/>
                <w:lang w:val="en-GB"/>
              </w:rPr>
            </w:pPr>
            <w:r w:rsidRPr="009F0133">
              <w:rPr>
                <w:rFonts w:ascii="Verdana" w:eastAsia="Verdana" w:hAnsi="Verdana" w:cs="Verdana"/>
                <w:i/>
                <w:sz w:val="18"/>
                <w:szCs w:val="18"/>
                <w:lang w:val="en-GB"/>
              </w:rPr>
              <w:t>Absorptive</w:t>
            </w:r>
            <w:r w:rsidR="00537EAA" w:rsidRPr="009F0133">
              <w:rPr>
                <w:rFonts w:ascii="Verdana" w:eastAsia="Verdana" w:hAnsi="Verdana" w:cs="Verdana"/>
                <w:i/>
                <w:sz w:val="18"/>
                <w:szCs w:val="18"/>
                <w:lang w:val="en-GB"/>
              </w:rPr>
              <w:t xml:space="preserve"> capacity</w:t>
            </w:r>
          </w:p>
        </w:tc>
        <w:tc>
          <w:tcPr>
            <w:tcW w:w="6732" w:type="dxa"/>
          </w:tcPr>
          <w:p w14:paraId="5B5DFE79" w14:textId="77777777" w:rsidR="009E630B" w:rsidRPr="009F0133" w:rsidRDefault="00537EAA" w:rsidP="006604AC">
            <w:pPr>
              <w:widowControl w:val="0"/>
              <w:spacing w:before="40"/>
              <w:rPr>
                <w:rFonts w:ascii="Verdana" w:eastAsia="Verdana" w:hAnsi="Verdana" w:cs="Verdana"/>
                <w:sz w:val="18"/>
                <w:szCs w:val="18"/>
              </w:rPr>
            </w:pPr>
            <w:r w:rsidRPr="009F0133">
              <w:rPr>
                <w:rFonts w:ascii="Verdana" w:eastAsia="Verdana" w:hAnsi="Verdana" w:cs="Verdana"/>
                <w:sz w:val="18"/>
                <w:szCs w:val="18"/>
              </w:rPr>
              <w:t>Sabiedrības spēja saprast, novērtēt un izmantot citur radītas zināšanas. Tā balstās uz sabiedrības iegūto un uzkrāto zināšanu bāzes. Piemēram, ja sabiedrībā ir plaši apgūtas STEM zināšanas un noris aktīva vietējā pētniecība, ir vieglāk saprast un pārņemt citur radītas tehnoloģijas. Labas svešvalodu un kultūru zināšanas atvieglo darbu ar ārvalstu partneriem un klientiem. Kompāniju menedžmenta zināšanas par modernajām vadības metodēm un publiskā sektora izpratne par moderno regulējumu ļauj izveidot ārvalstīs radītajām tehnoloģijām nepieciešamās sociālās struktūras, pakalpojumus un pārvaldi. Sabiedrības uztveršanas spēju ņem vērā potenciālie ārvalstu investori.</w:t>
            </w:r>
          </w:p>
        </w:tc>
      </w:tr>
      <w:tr w:rsidR="009E630B" w:rsidRPr="009F0133" w14:paraId="2B88A029" w14:textId="77777777" w:rsidTr="006A2DB8">
        <w:trPr>
          <w:trHeight w:val="1138"/>
        </w:trPr>
        <w:tc>
          <w:tcPr>
            <w:tcW w:w="2268" w:type="dxa"/>
          </w:tcPr>
          <w:p w14:paraId="32B058E5" w14:textId="77777777" w:rsidR="009E630B" w:rsidRPr="009F0133" w:rsidRDefault="00537EAA" w:rsidP="006604AC">
            <w:pPr>
              <w:widowControl w:val="0"/>
              <w:spacing w:before="240"/>
              <w:rPr>
                <w:rFonts w:ascii="Verdana" w:hAnsi="Verdana"/>
                <w:b/>
                <w:sz w:val="18"/>
                <w:szCs w:val="18"/>
              </w:rPr>
            </w:pPr>
            <w:r w:rsidRPr="009F0133">
              <w:rPr>
                <w:rFonts w:ascii="Verdana" w:hAnsi="Verdana"/>
                <w:b/>
                <w:sz w:val="18"/>
                <w:szCs w:val="18"/>
              </w:rPr>
              <w:t>Inovācija</w:t>
            </w:r>
          </w:p>
          <w:p w14:paraId="324F0D61" w14:textId="77777777" w:rsidR="006604AC" w:rsidRPr="009F0133" w:rsidRDefault="006604AC">
            <w:pPr>
              <w:widowControl w:val="0"/>
              <w:rPr>
                <w:rFonts w:ascii="Verdana" w:hAnsi="Verdana"/>
                <w:i/>
                <w:sz w:val="18"/>
                <w:szCs w:val="18"/>
              </w:rPr>
            </w:pPr>
          </w:p>
          <w:p w14:paraId="1DC100F5" w14:textId="77777777" w:rsidR="009E630B" w:rsidRPr="009F0133" w:rsidRDefault="00537EAA">
            <w:pPr>
              <w:widowControl w:val="0"/>
              <w:rPr>
                <w:rFonts w:ascii="Verdana" w:hAnsi="Verdana"/>
                <w:i/>
                <w:sz w:val="18"/>
                <w:szCs w:val="18"/>
                <w:lang w:val="en-GB"/>
              </w:rPr>
            </w:pPr>
            <w:r w:rsidRPr="009F0133">
              <w:rPr>
                <w:rFonts w:ascii="Verdana" w:hAnsi="Verdana"/>
                <w:i/>
                <w:sz w:val="18"/>
                <w:szCs w:val="18"/>
                <w:lang w:val="en-GB"/>
              </w:rPr>
              <w:t>Innovation</w:t>
            </w:r>
          </w:p>
        </w:tc>
        <w:tc>
          <w:tcPr>
            <w:tcW w:w="6732" w:type="dxa"/>
          </w:tcPr>
          <w:p w14:paraId="104E6BC2" w14:textId="77777777" w:rsidR="009E630B" w:rsidRPr="009F0133" w:rsidRDefault="00537EAA" w:rsidP="006604AC">
            <w:pPr>
              <w:widowControl w:val="0"/>
              <w:pBdr>
                <w:top w:val="nil"/>
                <w:left w:val="nil"/>
                <w:bottom w:val="nil"/>
                <w:right w:val="nil"/>
                <w:between w:val="nil"/>
              </w:pBdr>
              <w:spacing w:before="240"/>
              <w:rPr>
                <w:rFonts w:ascii="Verdana" w:hAnsi="Verdana"/>
                <w:sz w:val="18"/>
                <w:szCs w:val="18"/>
              </w:rPr>
            </w:pPr>
            <w:r w:rsidRPr="009F0133">
              <w:rPr>
                <w:rFonts w:ascii="Verdana" w:hAnsi="Verdana"/>
                <w:sz w:val="18"/>
                <w:szCs w:val="18"/>
              </w:rPr>
              <w:t>Zinātniskās, tehniskās, sociālās, kultūras vai citas jomas idejas, kas tiek īstenotas jaunos produktos, procesos, pakalpojumos, jaunās tehnoloģijās, organizatoriskajos vai mārketinga uzlabojumos, jaunās vai uzlabotās metodēs.</w:t>
            </w:r>
          </w:p>
        </w:tc>
      </w:tr>
      <w:tr w:rsidR="009E630B" w:rsidRPr="009F0133" w14:paraId="7C4720E2" w14:textId="77777777" w:rsidTr="006A2DB8">
        <w:trPr>
          <w:trHeight w:val="1821"/>
        </w:trPr>
        <w:tc>
          <w:tcPr>
            <w:tcW w:w="2268" w:type="dxa"/>
          </w:tcPr>
          <w:p w14:paraId="3374FE97" w14:textId="77777777" w:rsidR="006604AC" w:rsidRPr="009F0133" w:rsidRDefault="00537EAA" w:rsidP="006604AC">
            <w:pPr>
              <w:widowControl w:val="0"/>
              <w:spacing w:before="240"/>
              <w:rPr>
                <w:rFonts w:ascii="Verdana" w:hAnsi="Verdana"/>
                <w:b/>
                <w:sz w:val="18"/>
                <w:szCs w:val="18"/>
              </w:rPr>
            </w:pPr>
            <w:r w:rsidRPr="009F0133">
              <w:rPr>
                <w:rFonts w:ascii="Verdana" w:hAnsi="Verdana"/>
                <w:b/>
                <w:sz w:val="18"/>
                <w:szCs w:val="18"/>
              </w:rPr>
              <w:t>Koordinācijas izmaksas</w:t>
            </w:r>
          </w:p>
          <w:p w14:paraId="2A57BB73" w14:textId="77777777" w:rsidR="006604AC" w:rsidRPr="009F0133" w:rsidRDefault="006604AC">
            <w:pPr>
              <w:widowControl w:val="0"/>
              <w:spacing w:before="40"/>
              <w:rPr>
                <w:rFonts w:ascii="Verdana" w:eastAsia="Verdana" w:hAnsi="Verdana" w:cs="Verdana"/>
                <w:i/>
                <w:sz w:val="18"/>
                <w:szCs w:val="18"/>
              </w:rPr>
            </w:pPr>
          </w:p>
          <w:p w14:paraId="02BF0765" w14:textId="77777777" w:rsidR="009E630B" w:rsidRPr="009F0133" w:rsidRDefault="006604AC">
            <w:pPr>
              <w:widowControl w:val="0"/>
              <w:spacing w:before="40"/>
              <w:rPr>
                <w:rFonts w:ascii="Verdana" w:hAnsi="Verdana"/>
                <w:i/>
                <w:sz w:val="18"/>
                <w:szCs w:val="18"/>
                <w:lang w:val="en-GB"/>
              </w:rPr>
            </w:pPr>
            <w:r w:rsidRPr="009F0133">
              <w:rPr>
                <w:rFonts w:ascii="Verdana" w:eastAsia="Verdana" w:hAnsi="Verdana" w:cs="Verdana"/>
                <w:i/>
                <w:sz w:val="18"/>
                <w:szCs w:val="18"/>
                <w:lang w:val="en-GB"/>
              </w:rPr>
              <w:t>C</w:t>
            </w:r>
            <w:r w:rsidR="00537EAA" w:rsidRPr="009F0133">
              <w:rPr>
                <w:rFonts w:ascii="Verdana" w:eastAsia="Verdana" w:hAnsi="Verdana" w:cs="Verdana"/>
                <w:i/>
                <w:sz w:val="18"/>
                <w:szCs w:val="18"/>
                <w:lang w:val="en-GB"/>
              </w:rPr>
              <w:t>oordination costs</w:t>
            </w:r>
          </w:p>
        </w:tc>
        <w:tc>
          <w:tcPr>
            <w:tcW w:w="6732" w:type="dxa"/>
          </w:tcPr>
          <w:p w14:paraId="758B4E48" w14:textId="4C36587A" w:rsidR="009E630B" w:rsidRPr="009F0133" w:rsidRDefault="00537EAA" w:rsidP="006604AC">
            <w:pPr>
              <w:widowControl w:val="0"/>
              <w:spacing w:before="240"/>
              <w:rPr>
                <w:rFonts w:ascii="Verdana" w:eastAsia="Verdana" w:hAnsi="Verdana" w:cs="Verdana"/>
                <w:sz w:val="18"/>
                <w:szCs w:val="18"/>
              </w:rPr>
            </w:pPr>
            <w:r w:rsidRPr="009F0133">
              <w:rPr>
                <w:rFonts w:ascii="Verdana" w:eastAsia="Verdana" w:hAnsi="Verdana" w:cs="Verdana"/>
                <w:sz w:val="18"/>
                <w:szCs w:val="18"/>
              </w:rPr>
              <w:t>Darbs, laika un resursu patēriņš, kas ir nepieciešams, lai dažādi cilvēki vai organizācijas vienotos un saskaņotu savas darbības. Koordinācijas izmaksas pieaug, ja indivīdi neuzticas viens otram, ir ar savstarpēju nepatiku</w:t>
            </w:r>
            <w:r w:rsidR="0086119C" w:rsidRPr="009F0133">
              <w:rPr>
                <w:rFonts w:ascii="Verdana" w:eastAsia="Verdana" w:hAnsi="Verdana" w:cs="Verdana"/>
                <w:sz w:val="18"/>
                <w:szCs w:val="18"/>
              </w:rPr>
              <w:t xml:space="preserve"> </w:t>
            </w:r>
            <w:r w:rsidRPr="009F0133">
              <w:rPr>
                <w:rFonts w:ascii="Verdana" w:eastAsia="Verdana" w:hAnsi="Verdana" w:cs="Verdana"/>
                <w:sz w:val="18"/>
                <w:szCs w:val="18"/>
              </w:rPr>
              <w:t xml:space="preserve">vai ar dažādu izpratni. Piemēram, runā dažādās valodās, ir no dažādām valstīm, kultūrām vai sociālajiem slāņiem, ir mācījušies dažādās skolās, ar pieredzi dažādās nozarēs. </w:t>
            </w:r>
            <w:r w:rsidR="0086119C" w:rsidRPr="009F0133">
              <w:rPr>
                <w:rFonts w:ascii="Verdana" w:eastAsia="Verdana" w:hAnsi="Verdana" w:cs="Verdana"/>
                <w:sz w:val="18"/>
                <w:szCs w:val="18"/>
              </w:rPr>
              <w:t xml:space="preserve"> </w:t>
            </w:r>
            <w:r w:rsidRPr="009F0133">
              <w:rPr>
                <w:rFonts w:ascii="Verdana" w:eastAsia="Verdana" w:hAnsi="Verdana" w:cs="Verdana"/>
                <w:sz w:val="18"/>
                <w:szCs w:val="18"/>
              </w:rPr>
              <w:t>Ģeogrāfiskais attālums palielina koordinācijas izmaksas, ikdienas kontakts tās samazina.</w:t>
            </w:r>
          </w:p>
        </w:tc>
      </w:tr>
      <w:tr w:rsidR="009E630B" w:rsidRPr="009F0133" w14:paraId="381688DD" w14:textId="77777777" w:rsidTr="006A2DB8">
        <w:trPr>
          <w:trHeight w:val="2272"/>
        </w:trPr>
        <w:tc>
          <w:tcPr>
            <w:tcW w:w="2268" w:type="dxa"/>
          </w:tcPr>
          <w:p w14:paraId="4FC57144" w14:textId="77777777" w:rsidR="009E630B" w:rsidRPr="009F0133" w:rsidRDefault="00537EAA" w:rsidP="006604AC">
            <w:pPr>
              <w:widowControl w:val="0"/>
              <w:spacing w:before="240"/>
              <w:rPr>
                <w:rFonts w:ascii="Verdana" w:hAnsi="Verdana"/>
                <w:b/>
                <w:sz w:val="18"/>
                <w:szCs w:val="18"/>
              </w:rPr>
            </w:pPr>
            <w:r w:rsidRPr="009F0133">
              <w:rPr>
                <w:rFonts w:ascii="Verdana" w:hAnsi="Verdana"/>
                <w:b/>
                <w:sz w:val="18"/>
                <w:szCs w:val="18"/>
              </w:rPr>
              <w:t>Tirgus atklāšanas izmaksas</w:t>
            </w:r>
          </w:p>
          <w:p w14:paraId="64971E95" w14:textId="77777777" w:rsidR="006604AC" w:rsidRPr="009F0133" w:rsidRDefault="006604AC">
            <w:pPr>
              <w:widowControl w:val="0"/>
              <w:spacing w:before="40"/>
              <w:rPr>
                <w:rFonts w:ascii="Verdana" w:eastAsia="Verdana" w:hAnsi="Verdana" w:cs="Verdana"/>
                <w:b/>
                <w:i/>
                <w:sz w:val="18"/>
                <w:szCs w:val="18"/>
              </w:rPr>
            </w:pPr>
          </w:p>
          <w:p w14:paraId="147D3504" w14:textId="77777777" w:rsidR="009E630B" w:rsidRPr="009F0133" w:rsidRDefault="00537EAA">
            <w:pPr>
              <w:widowControl w:val="0"/>
              <w:spacing w:before="40"/>
              <w:rPr>
                <w:rFonts w:ascii="Verdana" w:hAnsi="Verdana"/>
                <w:i/>
                <w:sz w:val="18"/>
                <w:szCs w:val="18"/>
                <w:lang w:val="en-GB"/>
              </w:rPr>
            </w:pPr>
            <w:r w:rsidRPr="009F0133">
              <w:rPr>
                <w:rFonts w:ascii="Verdana" w:eastAsia="Verdana" w:hAnsi="Verdana" w:cs="Verdana"/>
                <w:i/>
                <w:sz w:val="18"/>
                <w:szCs w:val="18"/>
                <w:lang w:val="en-GB"/>
              </w:rPr>
              <w:t>Market discovery costs</w:t>
            </w:r>
          </w:p>
        </w:tc>
        <w:tc>
          <w:tcPr>
            <w:tcW w:w="6732" w:type="dxa"/>
          </w:tcPr>
          <w:p w14:paraId="226789BC" w14:textId="4A04F865" w:rsidR="009E630B" w:rsidRPr="009F0133" w:rsidRDefault="00537EAA" w:rsidP="006604AC">
            <w:pPr>
              <w:widowControl w:val="0"/>
              <w:spacing w:before="240"/>
              <w:rPr>
                <w:rFonts w:ascii="Verdana" w:eastAsia="Verdana" w:hAnsi="Verdana" w:cs="Verdana"/>
                <w:sz w:val="18"/>
                <w:szCs w:val="18"/>
              </w:rPr>
            </w:pPr>
            <w:r w:rsidRPr="009F0133">
              <w:rPr>
                <w:rFonts w:ascii="Verdana" w:eastAsia="Verdana" w:hAnsi="Verdana" w:cs="Verdana"/>
                <w:sz w:val="18"/>
                <w:szCs w:val="18"/>
              </w:rPr>
              <w:t xml:space="preserve">Izmaksas, kas saistītas ar potenciālo tirgu izpēti un </w:t>
            </w:r>
            <w:r w:rsidRPr="009F0133">
              <w:rPr>
                <w:rFonts w:ascii="Verdana" w:hAnsi="Verdana"/>
                <w:sz w:val="18"/>
                <w:szCs w:val="18"/>
              </w:rPr>
              <w:t>iekarošanu</w:t>
            </w:r>
            <w:r w:rsidRPr="009F0133">
              <w:rPr>
                <w:rFonts w:ascii="Verdana" w:eastAsia="Verdana" w:hAnsi="Verdana" w:cs="Verdana"/>
                <w:sz w:val="18"/>
                <w:szCs w:val="18"/>
              </w:rPr>
              <w:t xml:space="preserve"> gan ģeogrāfiskajā, gan produktu vai pakalpojumu dimensijās. Tirgus atklāšana ietver gan zināšanu iegūšanu par tirgus potenciālu (t.i.</w:t>
            </w:r>
            <w:r w:rsidR="008928F4" w:rsidRPr="009F0133">
              <w:rPr>
                <w:rFonts w:ascii="Verdana" w:eastAsia="Verdana" w:hAnsi="Verdana" w:cs="Verdana"/>
                <w:sz w:val="18"/>
                <w:szCs w:val="18"/>
              </w:rPr>
              <w:t>,</w:t>
            </w:r>
            <w:r w:rsidRPr="009F0133">
              <w:rPr>
                <w:rFonts w:ascii="Verdana" w:eastAsia="Verdana" w:hAnsi="Verdana" w:cs="Verdana"/>
                <w:sz w:val="18"/>
                <w:szCs w:val="18"/>
              </w:rPr>
              <w:t xml:space="preserve"> pieprasījumu un cenu), gan patērētāju vēlmēm un kultūru, gan par piegādes un pārdošanas izmaksām, par potenciālajiem partneriem un darbības organizēšanu attiecīgajā tirgū, biznesa kultūru, regulējumu un darbu ar publiskajām institūcijām.</w:t>
            </w:r>
          </w:p>
          <w:p w14:paraId="791BBC5F" w14:textId="4677ADD8" w:rsidR="009E630B" w:rsidRPr="009F0133" w:rsidRDefault="00537EAA">
            <w:pPr>
              <w:widowControl w:val="0"/>
              <w:spacing w:before="40"/>
              <w:rPr>
                <w:rFonts w:ascii="Verdana" w:eastAsia="Verdana" w:hAnsi="Verdana" w:cs="Verdana"/>
                <w:sz w:val="18"/>
                <w:szCs w:val="18"/>
              </w:rPr>
            </w:pPr>
            <w:r w:rsidRPr="009F0133">
              <w:rPr>
                <w:rFonts w:ascii="Verdana" w:eastAsia="Verdana" w:hAnsi="Verdana" w:cs="Verdana"/>
                <w:sz w:val="18"/>
                <w:szCs w:val="18"/>
              </w:rPr>
              <w:t>Neesoša vai nepazīstama tirgus atklāšanas izmaksas bieži ir lielākas, nekā uzņēmumam būtu ekonomiski izdevīgi. Ja tirgus ir atklāts, nāk</w:t>
            </w:r>
            <w:r w:rsidR="000255A8" w:rsidRPr="009F0133">
              <w:rPr>
                <w:rFonts w:ascii="Verdana" w:eastAsia="Verdana" w:hAnsi="Verdana" w:cs="Verdana"/>
                <w:sz w:val="18"/>
                <w:szCs w:val="18"/>
              </w:rPr>
              <w:t>amajiem</w:t>
            </w:r>
            <w:r w:rsidRPr="009F0133">
              <w:rPr>
                <w:rFonts w:ascii="Verdana" w:eastAsia="Verdana" w:hAnsi="Verdana" w:cs="Verdana"/>
                <w:sz w:val="18"/>
                <w:szCs w:val="18"/>
              </w:rPr>
              <w:t xml:space="preserve"> uzņēmumiem tajā ir vieglāk darboties. Tāpēc bieži šīs izmaksas palīdz segt publiskais sektors (gan tieši, gan sniedzot pakalpojumus)</w:t>
            </w:r>
            <w:r w:rsidR="006917F5">
              <w:rPr>
                <w:rFonts w:ascii="Verdana" w:eastAsia="Verdana" w:hAnsi="Verdana" w:cs="Verdana"/>
                <w:sz w:val="18"/>
                <w:szCs w:val="18"/>
              </w:rPr>
              <w:t xml:space="preserve">. </w:t>
            </w:r>
          </w:p>
        </w:tc>
      </w:tr>
      <w:tr w:rsidR="009E630B" w:rsidRPr="009F0133" w14:paraId="26A98C1E" w14:textId="77777777" w:rsidTr="006A2DB8">
        <w:tc>
          <w:tcPr>
            <w:tcW w:w="2268" w:type="dxa"/>
          </w:tcPr>
          <w:p w14:paraId="538D65F8" w14:textId="77777777" w:rsidR="009E630B" w:rsidRPr="009F0133" w:rsidRDefault="00537EAA" w:rsidP="007570D7">
            <w:pPr>
              <w:widowControl w:val="0"/>
              <w:spacing w:before="240"/>
              <w:rPr>
                <w:rFonts w:ascii="Verdana" w:hAnsi="Verdana"/>
                <w:b/>
                <w:sz w:val="18"/>
                <w:szCs w:val="18"/>
              </w:rPr>
            </w:pPr>
            <w:r w:rsidRPr="009F0133">
              <w:rPr>
                <w:rFonts w:ascii="Verdana" w:hAnsi="Verdana"/>
                <w:b/>
                <w:sz w:val="18"/>
                <w:szCs w:val="18"/>
              </w:rPr>
              <w:t>Industrijas klasteris</w:t>
            </w:r>
          </w:p>
          <w:p w14:paraId="63AF2745" w14:textId="77777777" w:rsidR="007570D7" w:rsidRPr="009F0133" w:rsidRDefault="007570D7">
            <w:pPr>
              <w:widowControl w:val="0"/>
              <w:rPr>
                <w:rFonts w:ascii="Verdana" w:hAnsi="Verdana"/>
                <w:i/>
                <w:sz w:val="18"/>
                <w:szCs w:val="18"/>
              </w:rPr>
            </w:pPr>
          </w:p>
          <w:p w14:paraId="728DB335" w14:textId="2FE4481C" w:rsidR="009E630B" w:rsidRPr="009F0133" w:rsidRDefault="00537EAA">
            <w:pPr>
              <w:widowControl w:val="0"/>
              <w:rPr>
                <w:rFonts w:ascii="Verdana" w:hAnsi="Verdana"/>
                <w:i/>
                <w:sz w:val="18"/>
                <w:szCs w:val="18"/>
                <w:lang w:val="en-GB"/>
              </w:rPr>
            </w:pPr>
            <w:r w:rsidRPr="009F0133">
              <w:rPr>
                <w:rFonts w:ascii="Verdana" w:hAnsi="Verdana"/>
                <w:i/>
                <w:sz w:val="18"/>
                <w:szCs w:val="18"/>
                <w:lang w:val="en-GB"/>
              </w:rPr>
              <w:t>Industry cluster</w:t>
            </w:r>
          </w:p>
        </w:tc>
        <w:tc>
          <w:tcPr>
            <w:tcW w:w="6732" w:type="dxa"/>
          </w:tcPr>
          <w:p w14:paraId="29881A81" w14:textId="2EB083B0" w:rsidR="007570D7" w:rsidRPr="00D1380A" w:rsidRDefault="007570D7" w:rsidP="00D1380A">
            <w:pPr>
              <w:pStyle w:val="NormalWeb"/>
              <w:spacing w:before="40" w:beforeAutospacing="0" w:after="0" w:afterAutospacing="0"/>
              <w:rPr>
                <w:rFonts w:ascii="Verdana" w:hAnsi="Verdana"/>
                <w:color w:val="000000"/>
                <w:sz w:val="18"/>
                <w:szCs w:val="18"/>
                <w:lang w:val="lv-LV"/>
              </w:rPr>
            </w:pPr>
            <w:r w:rsidRPr="009F0133">
              <w:rPr>
                <w:rFonts w:ascii="Verdana" w:eastAsia="Verdana" w:hAnsi="Verdana" w:cs="Verdana"/>
                <w:sz w:val="18"/>
                <w:szCs w:val="18"/>
                <w:lang w:val="lv-LV"/>
              </w:rPr>
              <w:t>Vienā</w:t>
            </w:r>
            <w:r w:rsidRPr="009F0133">
              <w:rPr>
                <w:rFonts w:ascii="Verdana" w:hAnsi="Verdana"/>
                <w:color w:val="000000"/>
                <w:sz w:val="18"/>
                <w:szCs w:val="18"/>
                <w:lang w:val="lv-LV"/>
              </w:rPr>
              <w:t xml:space="preserve"> ģeogrāfiskajā reģionā izvietotas līdzīgas vai saistītas firmas, kurām ir kopējs tirgus, tehnoloģijas vai līdzīgas nepieciešamās prasmes. Š</w:t>
            </w:r>
            <w:r w:rsidR="005C1E7F" w:rsidRPr="009F0133">
              <w:rPr>
                <w:rFonts w:ascii="Verdana" w:hAnsi="Verdana"/>
                <w:color w:val="000000"/>
                <w:sz w:val="18"/>
                <w:szCs w:val="18"/>
                <w:lang w:val="lv-LV"/>
              </w:rPr>
              <w:t>ā</w:t>
            </w:r>
            <w:r w:rsidRPr="009F0133">
              <w:rPr>
                <w:rFonts w:ascii="Verdana" w:hAnsi="Verdana"/>
                <w:color w:val="000000"/>
                <w:sz w:val="18"/>
                <w:szCs w:val="18"/>
                <w:lang w:val="lv-LV"/>
              </w:rPr>
              <w:t>das firmas bieži ir vai nu konkurenti</w:t>
            </w:r>
            <w:r w:rsidR="005C1E7F" w:rsidRPr="009F0133">
              <w:rPr>
                <w:rFonts w:ascii="Verdana" w:hAnsi="Verdana"/>
                <w:color w:val="000000"/>
                <w:sz w:val="18"/>
                <w:szCs w:val="18"/>
                <w:lang w:val="lv-LV"/>
              </w:rPr>
              <w:t xml:space="preserve">, </w:t>
            </w:r>
            <w:r w:rsidRPr="009F0133">
              <w:rPr>
                <w:rFonts w:ascii="Verdana" w:hAnsi="Verdana"/>
                <w:color w:val="000000"/>
                <w:sz w:val="18"/>
                <w:szCs w:val="18"/>
                <w:lang w:val="lv-LV"/>
              </w:rPr>
              <w:t>vai klienti viena otrai. Veidojas firmu simbioze</w:t>
            </w:r>
            <w:r w:rsidR="005C1E7F" w:rsidRPr="009F0133">
              <w:rPr>
                <w:rFonts w:ascii="Verdana" w:hAnsi="Verdana"/>
                <w:color w:val="000000"/>
                <w:sz w:val="18"/>
                <w:szCs w:val="18"/>
                <w:lang w:val="lv-LV"/>
              </w:rPr>
              <w:t xml:space="preserve">: </w:t>
            </w:r>
            <w:r w:rsidRPr="009F0133">
              <w:rPr>
                <w:rFonts w:ascii="Verdana" w:hAnsi="Verdana"/>
                <w:color w:val="000000"/>
                <w:sz w:val="18"/>
                <w:szCs w:val="18"/>
                <w:lang w:val="lv-LV"/>
              </w:rPr>
              <w:t xml:space="preserve">katra atsevišķā uzņēmuma attīstība ir atkarīga no tā, cik veiksmīgi darbojas pārējie un cik cieša sadarbība starp tām veidojas. </w:t>
            </w:r>
            <w:r w:rsidR="00075259" w:rsidRPr="00D1380A">
              <w:rPr>
                <w:rFonts w:ascii="Verdana" w:hAnsi="Verdana"/>
                <w:color w:val="000000"/>
                <w:sz w:val="18"/>
                <w:szCs w:val="18"/>
                <w:lang w:val="lv-LV"/>
              </w:rPr>
              <w:t xml:space="preserve">Mēdz izdalīt </w:t>
            </w:r>
            <w:r w:rsidR="00BC7A76" w:rsidRPr="00D1380A">
              <w:rPr>
                <w:rFonts w:ascii="Verdana" w:hAnsi="Verdana"/>
                <w:color w:val="000000"/>
                <w:sz w:val="18"/>
                <w:szCs w:val="18"/>
                <w:lang w:val="lv-LV"/>
              </w:rPr>
              <w:t>reģionālus un starp-reģionālus klasterus.</w:t>
            </w:r>
          </w:p>
          <w:p w14:paraId="656D9F47" w14:textId="77777777" w:rsidR="007570D7" w:rsidRPr="009F0133" w:rsidRDefault="007570D7" w:rsidP="007570D7">
            <w:pPr>
              <w:pStyle w:val="NormalWeb"/>
              <w:spacing w:before="40" w:beforeAutospacing="0" w:after="0" w:afterAutospacing="0"/>
              <w:rPr>
                <w:sz w:val="18"/>
                <w:szCs w:val="18"/>
                <w:lang w:val="lv-LV"/>
              </w:rPr>
            </w:pPr>
            <w:r w:rsidRPr="009F0133">
              <w:rPr>
                <w:rFonts w:ascii="Verdana" w:hAnsi="Verdana"/>
                <w:color w:val="000000"/>
                <w:sz w:val="18"/>
                <w:szCs w:val="18"/>
                <w:lang w:val="lv-LV"/>
              </w:rPr>
              <w:t>Lielāki industriālie klasteri ietver arī saistītās nozares, kā arī izglītības, pētniecības, finanšu, pārvaldes institūcijas.</w:t>
            </w:r>
          </w:p>
          <w:p w14:paraId="4120E979" w14:textId="59C22004" w:rsidR="009E630B" w:rsidRPr="009F0133" w:rsidRDefault="007570D7" w:rsidP="009729FB">
            <w:pPr>
              <w:pStyle w:val="NormalWeb"/>
              <w:spacing w:before="40" w:beforeAutospacing="0" w:after="0" w:afterAutospacing="0"/>
              <w:rPr>
                <w:sz w:val="18"/>
                <w:szCs w:val="18"/>
                <w:lang w:val="lv-LV"/>
              </w:rPr>
            </w:pPr>
            <w:r w:rsidRPr="009F0133">
              <w:rPr>
                <w:rFonts w:ascii="Verdana" w:hAnsi="Verdana"/>
                <w:color w:val="000000"/>
                <w:sz w:val="18"/>
                <w:szCs w:val="18"/>
                <w:lang w:val="lv-LV"/>
              </w:rPr>
              <w:t>Bieži klasteru uzņēmumi veido asociācijas (“klasteri”), kas nodarbojas ar nozares kopējās attīstības plānošanu, nodrošina visiem</w:t>
            </w:r>
            <w:r w:rsidR="00E45B07">
              <w:rPr>
                <w:rFonts w:ascii="Verdana" w:hAnsi="Verdana"/>
                <w:color w:val="000000"/>
                <w:sz w:val="18"/>
                <w:szCs w:val="18"/>
                <w:lang w:val="lv-LV"/>
              </w:rPr>
              <w:t xml:space="preserve"> </w:t>
            </w:r>
            <w:r w:rsidRPr="009F0133">
              <w:rPr>
                <w:rFonts w:ascii="Verdana" w:hAnsi="Verdana"/>
                <w:color w:val="000000"/>
                <w:sz w:val="18"/>
                <w:szCs w:val="18"/>
                <w:lang w:val="lv-LV"/>
              </w:rPr>
              <w:t>nepieciešamos pakalpojumus, lobē nozares intereses.</w:t>
            </w:r>
          </w:p>
        </w:tc>
      </w:tr>
      <w:tr w:rsidR="009E630B" w:rsidRPr="009F0133" w14:paraId="6A9A7766" w14:textId="77777777" w:rsidTr="006A2DB8">
        <w:trPr>
          <w:trHeight w:val="1869"/>
        </w:trPr>
        <w:tc>
          <w:tcPr>
            <w:tcW w:w="2268" w:type="dxa"/>
          </w:tcPr>
          <w:p w14:paraId="51712779" w14:textId="77777777" w:rsidR="009E630B" w:rsidRPr="009F0133" w:rsidRDefault="00537EAA" w:rsidP="008928F4">
            <w:pPr>
              <w:widowControl w:val="0"/>
              <w:spacing w:before="240"/>
              <w:rPr>
                <w:rFonts w:ascii="Verdana" w:hAnsi="Verdana"/>
                <w:sz w:val="18"/>
                <w:szCs w:val="18"/>
                <w:highlight w:val="yellow"/>
              </w:rPr>
            </w:pPr>
            <w:r w:rsidRPr="009F0133">
              <w:rPr>
                <w:rFonts w:ascii="Verdana" w:hAnsi="Verdana"/>
                <w:b/>
                <w:sz w:val="18"/>
                <w:szCs w:val="18"/>
              </w:rPr>
              <w:lastRenderedPageBreak/>
              <w:t>Inovāciju nāves ieleja</w:t>
            </w:r>
          </w:p>
          <w:p w14:paraId="7D043F38" w14:textId="0BAA84A6" w:rsidR="009E630B" w:rsidRPr="009F0133" w:rsidRDefault="00537EAA" w:rsidP="0018464C">
            <w:pPr>
              <w:widowControl w:val="0"/>
              <w:spacing w:before="240"/>
              <w:rPr>
                <w:rFonts w:ascii="Verdana" w:hAnsi="Verdana"/>
                <w:i/>
                <w:sz w:val="18"/>
                <w:szCs w:val="18"/>
                <w:highlight w:val="yellow"/>
                <w:lang w:val="en-GB"/>
              </w:rPr>
            </w:pPr>
            <w:r w:rsidRPr="009F0133">
              <w:rPr>
                <w:rFonts w:ascii="Verdana" w:hAnsi="Verdana"/>
                <w:i/>
                <w:sz w:val="18"/>
                <w:szCs w:val="18"/>
                <w:lang w:val="en-GB"/>
              </w:rPr>
              <w:t xml:space="preserve">Innovation </w:t>
            </w:r>
            <w:r w:rsidR="008928F4" w:rsidRPr="009F0133">
              <w:rPr>
                <w:rFonts w:ascii="Verdana" w:hAnsi="Verdana"/>
                <w:i/>
                <w:sz w:val="18"/>
                <w:szCs w:val="18"/>
                <w:lang w:val="en-GB"/>
              </w:rPr>
              <w:t>Death Valley</w:t>
            </w:r>
          </w:p>
        </w:tc>
        <w:tc>
          <w:tcPr>
            <w:tcW w:w="6732" w:type="dxa"/>
          </w:tcPr>
          <w:p w14:paraId="571B11F7" w14:textId="77777777" w:rsidR="008928F4" w:rsidRPr="009F0133" w:rsidRDefault="008928F4" w:rsidP="008928F4">
            <w:pPr>
              <w:pStyle w:val="NormalWeb"/>
              <w:spacing w:before="40" w:beforeAutospacing="0" w:after="0" w:afterAutospacing="0"/>
              <w:rPr>
                <w:sz w:val="18"/>
                <w:szCs w:val="18"/>
                <w:lang w:val="lv-LV"/>
              </w:rPr>
            </w:pPr>
            <w:r w:rsidRPr="009F0133">
              <w:rPr>
                <w:rFonts w:ascii="Verdana" w:hAnsi="Verdana"/>
                <w:color w:val="000000"/>
                <w:sz w:val="18"/>
                <w:szCs w:val="18"/>
                <w:lang w:val="lv-LV"/>
              </w:rPr>
              <w:t xml:space="preserve">Finansējuma trūkums agrīnās tehnoloģiju izstrādes fāzēs - sākotnējo komercializācijas iespēju izpētei, tehniskā risinājuma pārbaudei un agrīnai </w:t>
            </w:r>
            <w:proofErr w:type="spellStart"/>
            <w:r w:rsidRPr="009F0133">
              <w:rPr>
                <w:rFonts w:ascii="Verdana" w:hAnsi="Verdana"/>
                <w:color w:val="000000"/>
                <w:sz w:val="18"/>
                <w:szCs w:val="18"/>
                <w:lang w:val="lv-LV"/>
              </w:rPr>
              <w:t>prototipēšanai</w:t>
            </w:r>
            <w:proofErr w:type="spellEnd"/>
            <w:r w:rsidRPr="009F0133">
              <w:rPr>
                <w:rFonts w:ascii="Verdana" w:hAnsi="Verdana"/>
                <w:color w:val="000000"/>
                <w:sz w:val="18"/>
                <w:szCs w:val="18"/>
                <w:lang w:val="lv-LV"/>
              </w:rPr>
              <w:t>, sākotnējai tirgus izpētei.</w:t>
            </w:r>
          </w:p>
          <w:p w14:paraId="448D095F" w14:textId="16893000" w:rsidR="008928F4" w:rsidRPr="009F0133" w:rsidRDefault="008928F4" w:rsidP="008928F4">
            <w:pPr>
              <w:pStyle w:val="NormalWeb"/>
              <w:spacing w:before="40" w:beforeAutospacing="0" w:after="0" w:afterAutospacing="0"/>
              <w:rPr>
                <w:sz w:val="18"/>
                <w:szCs w:val="18"/>
                <w:lang w:val="lv-LV"/>
              </w:rPr>
            </w:pPr>
            <w:r w:rsidRPr="009F0133">
              <w:rPr>
                <w:rFonts w:ascii="Verdana" w:hAnsi="Verdana"/>
                <w:color w:val="000000"/>
                <w:sz w:val="18"/>
                <w:szCs w:val="18"/>
                <w:lang w:val="lv-LV"/>
              </w:rPr>
              <w:t>Šajās fāzēs vairs nav pieejami publiskie līdzekļi, kas finansē fundamentālo un lietišķo pētniecību.</w:t>
            </w:r>
          </w:p>
          <w:p w14:paraId="26FA479F" w14:textId="330F4429" w:rsidR="0016152B" w:rsidRPr="00C76F4B" w:rsidRDefault="008928F4" w:rsidP="008928F4">
            <w:pPr>
              <w:pStyle w:val="NormalWeb"/>
              <w:spacing w:before="40" w:beforeAutospacing="0" w:after="0" w:afterAutospacing="0"/>
              <w:rPr>
                <w:rFonts w:ascii="Verdana" w:hAnsi="Verdana"/>
                <w:color w:val="000000"/>
                <w:sz w:val="18"/>
                <w:szCs w:val="18"/>
                <w:lang w:val="lv-LV"/>
              </w:rPr>
            </w:pPr>
            <w:r w:rsidRPr="009F0133">
              <w:rPr>
                <w:rFonts w:ascii="Verdana" w:hAnsi="Verdana"/>
                <w:color w:val="000000"/>
                <w:sz w:val="18"/>
                <w:szCs w:val="18"/>
                <w:lang w:val="lv-LV"/>
              </w:rPr>
              <w:t>Tirgus arī vēl nefinansē šo fāzi, jo ir neprognozējami un pārāk lieli riski. Tirgus finansē vēlākas fāzes - konkrētu produktu izstrādi, mārketingu un pārdošanu.</w:t>
            </w:r>
          </w:p>
        </w:tc>
      </w:tr>
      <w:tr w:rsidR="009E630B" w:rsidRPr="009F0133" w14:paraId="09D8C946" w14:textId="77777777" w:rsidTr="006A2DB8">
        <w:trPr>
          <w:trHeight w:val="2539"/>
        </w:trPr>
        <w:tc>
          <w:tcPr>
            <w:tcW w:w="2268" w:type="dxa"/>
          </w:tcPr>
          <w:p w14:paraId="42E37FB0" w14:textId="77777777" w:rsidR="009E630B" w:rsidRPr="009F0133" w:rsidRDefault="00537EAA" w:rsidP="000255A8">
            <w:pPr>
              <w:widowControl w:val="0"/>
              <w:spacing w:before="240"/>
              <w:rPr>
                <w:rFonts w:ascii="Verdana" w:hAnsi="Verdana"/>
                <w:b/>
                <w:sz w:val="18"/>
                <w:szCs w:val="18"/>
              </w:rPr>
            </w:pPr>
            <w:r w:rsidRPr="009F0133">
              <w:rPr>
                <w:rFonts w:ascii="Verdana" w:hAnsi="Verdana"/>
                <w:b/>
                <w:sz w:val="18"/>
                <w:szCs w:val="18"/>
              </w:rPr>
              <w:t>Attīstības ceļu ierobežotība</w:t>
            </w:r>
          </w:p>
          <w:p w14:paraId="2CA6518A" w14:textId="77777777" w:rsidR="000255A8" w:rsidRPr="009F0133" w:rsidRDefault="000255A8">
            <w:pPr>
              <w:widowControl w:val="0"/>
              <w:rPr>
                <w:rFonts w:ascii="Verdana" w:hAnsi="Verdana"/>
                <w:i/>
                <w:sz w:val="18"/>
                <w:szCs w:val="18"/>
              </w:rPr>
            </w:pPr>
          </w:p>
          <w:p w14:paraId="0392E35E" w14:textId="77777777" w:rsidR="009E630B" w:rsidRPr="009F0133" w:rsidRDefault="00537EAA">
            <w:pPr>
              <w:widowControl w:val="0"/>
              <w:rPr>
                <w:rFonts w:ascii="Verdana" w:hAnsi="Verdana"/>
                <w:i/>
                <w:sz w:val="18"/>
                <w:szCs w:val="18"/>
                <w:lang w:val="en-GB"/>
              </w:rPr>
            </w:pPr>
            <w:r w:rsidRPr="009F0133">
              <w:rPr>
                <w:rFonts w:ascii="Verdana" w:hAnsi="Verdana"/>
                <w:i/>
                <w:sz w:val="18"/>
                <w:szCs w:val="18"/>
                <w:lang w:val="en-GB"/>
              </w:rPr>
              <w:t>Path dependence</w:t>
            </w:r>
          </w:p>
        </w:tc>
        <w:tc>
          <w:tcPr>
            <w:tcW w:w="6732" w:type="dxa"/>
            <w:shd w:val="clear" w:color="auto" w:fill="auto"/>
          </w:tcPr>
          <w:p w14:paraId="35294485" w14:textId="75DC9268" w:rsidR="009E630B" w:rsidRPr="009F0133" w:rsidRDefault="00537EAA" w:rsidP="000255A8">
            <w:pPr>
              <w:widowControl w:val="0"/>
              <w:spacing w:before="240"/>
              <w:rPr>
                <w:rFonts w:ascii="Verdana" w:eastAsia="Verdana" w:hAnsi="Verdana" w:cs="Verdana"/>
                <w:sz w:val="18"/>
                <w:szCs w:val="18"/>
              </w:rPr>
            </w:pPr>
            <w:r w:rsidRPr="009F0133">
              <w:rPr>
                <w:rFonts w:ascii="Verdana" w:eastAsia="Verdana" w:hAnsi="Verdana" w:cs="Verdana"/>
                <w:sz w:val="18"/>
                <w:szCs w:val="18"/>
              </w:rPr>
              <w:t xml:space="preserve">Sabiedrības un ekonomikas attīstība ir atkarīga no pagātnē pieņemtajiem lēmumiem. Attīstība ir atkarīga no jau izveidotās </w:t>
            </w:r>
            <w:r w:rsidR="00D35266" w:rsidRPr="009F0133">
              <w:rPr>
                <w:rFonts w:ascii="Verdana" w:eastAsia="Verdana" w:hAnsi="Verdana" w:cs="Verdana"/>
                <w:sz w:val="18"/>
                <w:szCs w:val="18"/>
              </w:rPr>
              <w:t>infrastruktūras</w:t>
            </w:r>
            <w:r w:rsidRPr="009F0133">
              <w:rPr>
                <w:rFonts w:ascii="Verdana" w:eastAsia="Verdana" w:hAnsi="Verdana" w:cs="Verdana"/>
                <w:sz w:val="18"/>
                <w:szCs w:val="18"/>
              </w:rPr>
              <w:t>, apgūtajām zināšanām, izstrādātajām praksēm un regulējuma, izveidotajiem kontaktiem un klientu pieraduma.</w:t>
            </w:r>
          </w:p>
          <w:p w14:paraId="0B368513" w14:textId="22E0369A" w:rsidR="009E630B" w:rsidRPr="009F0133" w:rsidRDefault="00537EAA">
            <w:pPr>
              <w:widowControl w:val="0"/>
              <w:spacing w:before="40"/>
              <w:rPr>
                <w:rFonts w:ascii="Verdana" w:eastAsia="Verdana" w:hAnsi="Verdana" w:cs="Verdana"/>
                <w:sz w:val="18"/>
                <w:szCs w:val="18"/>
              </w:rPr>
            </w:pPr>
            <w:r w:rsidRPr="009F0133">
              <w:rPr>
                <w:rFonts w:ascii="Verdana" w:eastAsia="Verdana" w:hAnsi="Verdana" w:cs="Verdana"/>
                <w:sz w:val="18"/>
                <w:szCs w:val="18"/>
              </w:rPr>
              <w:t>Līdz ar to attīstība visbiežāk ir inkrementāla, t.i.</w:t>
            </w:r>
            <w:r w:rsidR="00D35266" w:rsidRPr="009F0133">
              <w:rPr>
                <w:rFonts w:ascii="Verdana" w:eastAsia="Verdana" w:hAnsi="Verdana" w:cs="Verdana"/>
                <w:sz w:val="18"/>
                <w:szCs w:val="18"/>
              </w:rPr>
              <w:t xml:space="preserve">, </w:t>
            </w:r>
            <w:r w:rsidRPr="009F0133">
              <w:rPr>
                <w:rFonts w:ascii="Verdana" w:eastAsia="Verdana" w:hAnsi="Verdana" w:cs="Verdana"/>
                <w:sz w:val="18"/>
                <w:szCs w:val="18"/>
              </w:rPr>
              <w:t>neliels attīstības solis, veicot esošo procesu uzlabojumus, izstrādājot saistītos produktus vai pakalpojumus.</w:t>
            </w:r>
          </w:p>
          <w:p w14:paraId="459BECD0" w14:textId="304A29E9" w:rsidR="009E630B" w:rsidRPr="009F0133" w:rsidRDefault="00537EAA">
            <w:pPr>
              <w:widowControl w:val="0"/>
              <w:spacing w:before="40"/>
              <w:rPr>
                <w:rFonts w:ascii="Verdana" w:eastAsia="Verdana" w:hAnsi="Verdana" w:cs="Verdana"/>
                <w:sz w:val="18"/>
                <w:szCs w:val="18"/>
              </w:rPr>
            </w:pPr>
            <w:r w:rsidRPr="009F0133">
              <w:rPr>
                <w:rFonts w:ascii="Verdana" w:eastAsia="Verdana" w:hAnsi="Verdana" w:cs="Verdana"/>
                <w:sz w:val="18"/>
                <w:szCs w:val="18"/>
              </w:rPr>
              <w:t>Būtiskas, revolucionāras novirzes no līdzšinējās prakses prasa ievērojamas investīcijas infrastruktūrā, izglītošanā un skaidrošanā, regulējuma un politikas maiņā, jauna veida sadarbības veidošanā. Līdz ar to šāda attīstība ir reta, riskanta, taču var nest ievērojamus ieguvumus.</w:t>
            </w:r>
          </w:p>
        </w:tc>
      </w:tr>
      <w:tr w:rsidR="009E630B" w:rsidRPr="009F0133" w14:paraId="0854C0EF" w14:textId="77777777" w:rsidTr="006A2DB8">
        <w:trPr>
          <w:trHeight w:val="2539"/>
        </w:trPr>
        <w:tc>
          <w:tcPr>
            <w:tcW w:w="2268" w:type="dxa"/>
          </w:tcPr>
          <w:p w14:paraId="5CAE3082" w14:textId="77777777" w:rsidR="009E630B" w:rsidRPr="009F0133" w:rsidRDefault="00537EAA" w:rsidP="000255A8">
            <w:pPr>
              <w:widowControl w:val="0"/>
              <w:spacing w:before="240"/>
              <w:rPr>
                <w:rFonts w:ascii="Verdana" w:hAnsi="Verdana"/>
                <w:b/>
                <w:sz w:val="18"/>
                <w:szCs w:val="18"/>
              </w:rPr>
            </w:pPr>
            <w:r w:rsidRPr="009F0133">
              <w:rPr>
                <w:rFonts w:ascii="Verdana" w:hAnsi="Verdana"/>
                <w:b/>
                <w:sz w:val="18"/>
                <w:szCs w:val="18"/>
              </w:rPr>
              <w:t>M.Portera “Priekšrocību dimants”</w:t>
            </w:r>
          </w:p>
          <w:p w14:paraId="2187E044" w14:textId="77777777" w:rsidR="000255A8" w:rsidRPr="009F0133" w:rsidRDefault="000255A8">
            <w:pPr>
              <w:widowControl w:val="0"/>
              <w:rPr>
                <w:rFonts w:ascii="Verdana" w:hAnsi="Verdana"/>
                <w:i/>
                <w:sz w:val="18"/>
                <w:szCs w:val="18"/>
              </w:rPr>
            </w:pPr>
          </w:p>
          <w:p w14:paraId="74B35FE6" w14:textId="77777777" w:rsidR="009E630B" w:rsidRPr="009F0133" w:rsidRDefault="00537EAA">
            <w:pPr>
              <w:widowControl w:val="0"/>
              <w:rPr>
                <w:rFonts w:ascii="Verdana" w:hAnsi="Verdana"/>
                <w:i/>
                <w:sz w:val="18"/>
                <w:szCs w:val="18"/>
                <w:lang w:val="en-GB"/>
              </w:rPr>
            </w:pPr>
            <w:r w:rsidRPr="009F0133">
              <w:rPr>
                <w:rFonts w:ascii="Verdana" w:hAnsi="Verdana"/>
                <w:i/>
                <w:sz w:val="18"/>
                <w:szCs w:val="18"/>
                <w:lang w:val="en-GB"/>
              </w:rPr>
              <w:t>M.Porter's Diamond of Advantages</w:t>
            </w:r>
          </w:p>
        </w:tc>
        <w:tc>
          <w:tcPr>
            <w:tcW w:w="6732" w:type="dxa"/>
          </w:tcPr>
          <w:p w14:paraId="61B35281" w14:textId="373FE6B3" w:rsidR="002F7337" w:rsidRPr="009F0133" w:rsidRDefault="002F7337" w:rsidP="002F7337">
            <w:pPr>
              <w:widowControl w:val="0"/>
              <w:spacing w:before="240"/>
              <w:rPr>
                <w:rFonts w:ascii="Verdana" w:eastAsia="Verdana" w:hAnsi="Verdana" w:cs="Verdana"/>
                <w:sz w:val="18"/>
                <w:szCs w:val="18"/>
                <w:lang w:val="lv-LV"/>
              </w:rPr>
            </w:pPr>
            <w:r w:rsidRPr="009F0133">
              <w:rPr>
                <w:rFonts w:ascii="Verdana" w:eastAsia="Verdana" w:hAnsi="Verdana" w:cs="Verdana"/>
                <w:sz w:val="18"/>
                <w:szCs w:val="18"/>
                <w:lang w:val="lv-LV"/>
              </w:rPr>
              <w:t>Ekonomista Maikla Portera izstrādāts shematisks modelis, kas skaidro, kā dažādie faktori ietekmē sabiedrības un ekonomikas nozaru attīstību. Modelis skaidro, ka, analizējot nozaru attīstību, jāņem vērā</w:t>
            </w:r>
            <w:r w:rsidR="006B6746" w:rsidRPr="009F0133">
              <w:rPr>
                <w:rFonts w:ascii="Verdana" w:eastAsia="Verdana" w:hAnsi="Verdana" w:cs="Verdana"/>
                <w:sz w:val="18"/>
                <w:szCs w:val="18"/>
                <w:lang w:val="lv-LV"/>
              </w:rPr>
              <w:t>:</w:t>
            </w:r>
            <w:r w:rsidRPr="009F0133">
              <w:rPr>
                <w:rFonts w:ascii="Verdana" w:eastAsia="Verdana" w:hAnsi="Verdana" w:cs="Verdana"/>
                <w:sz w:val="18"/>
                <w:szCs w:val="18"/>
                <w:lang w:val="lv-LV"/>
              </w:rPr>
              <w:t xml:space="preserve"> </w:t>
            </w:r>
          </w:p>
          <w:p w14:paraId="47981A21" w14:textId="35D1037E" w:rsidR="006B6746" w:rsidRPr="009F0133" w:rsidRDefault="002F7337" w:rsidP="003C1A44">
            <w:pPr>
              <w:pStyle w:val="ListParagraph"/>
              <w:widowControl w:val="0"/>
              <w:numPr>
                <w:ilvl w:val="0"/>
                <w:numId w:val="11"/>
              </w:numPr>
              <w:spacing w:before="40"/>
              <w:rPr>
                <w:rFonts w:ascii="Verdana" w:eastAsia="Verdana" w:hAnsi="Verdana" w:cs="Verdana"/>
                <w:sz w:val="18"/>
                <w:szCs w:val="18"/>
                <w:lang w:val="lv-LV"/>
              </w:rPr>
            </w:pPr>
            <w:r w:rsidRPr="009F0133">
              <w:rPr>
                <w:rFonts w:ascii="Verdana" w:eastAsia="Verdana" w:hAnsi="Verdana" w:cs="Verdana"/>
                <w:sz w:val="18"/>
                <w:szCs w:val="18"/>
                <w:lang w:val="lv-LV"/>
              </w:rPr>
              <w:t xml:space="preserve">dažāda veida resursi (faktori), tādi kā cilvēkresursi, dabas resursi, finanses, infrastruktūra, zinātne, pārvalde; </w:t>
            </w:r>
          </w:p>
          <w:p w14:paraId="377109F0" w14:textId="60E102A9" w:rsidR="002F7337" w:rsidRPr="009F0133" w:rsidRDefault="002F7337" w:rsidP="003C1A44">
            <w:pPr>
              <w:pStyle w:val="ListParagraph"/>
              <w:widowControl w:val="0"/>
              <w:numPr>
                <w:ilvl w:val="0"/>
                <w:numId w:val="11"/>
              </w:numPr>
              <w:spacing w:before="40"/>
              <w:rPr>
                <w:rFonts w:ascii="Verdana" w:eastAsia="Verdana" w:hAnsi="Verdana" w:cs="Verdana"/>
                <w:sz w:val="18"/>
                <w:szCs w:val="18"/>
                <w:lang w:val="lv-LV"/>
              </w:rPr>
            </w:pPr>
            <w:r w:rsidRPr="009F0133">
              <w:rPr>
                <w:rFonts w:ascii="Verdana" w:eastAsia="Verdana" w:hAnsi="Verdana" w:cs="Verdana"/>
                <w:sz w:val="18"/>
                <w:szCs w:val="18"/>
                <w:lang w:val="lv-LV"/>
              </w:rPr>
              <w:t>firmu stratēģijas</w:t>
            </w:r>
            <w:r w:rsidR="003C1A44" w:rsidRPr="009F0133">
              <w:rPr>
                <w:rFonts w:ascii="Verdana" w:eastAsia="Verdana" w:hAnsi="Verdana" w:cs="Verdana"/>
                <w:sz w:val="18"/>
                <w:szCs w:val="18"/>
                <w:lang w:val="lv-LV"/>
              </w:rPr>
              <w:t>:</w:t>
            </w:r>
            <w:r w:rsidRPr="009F0133">
              <w:rPr>
                <w:rFonts w:ascii="Verdana" w:eastAsia="Verdana" w:hAnsi="Verdana" w:cs="Verdana"/>
                <w:sz w:val="18"/>
                <w:szCs w:val="18"/>
                <w:lang w:val="lv-LV"/>
              </w:rPr>
              <w:t xml:space="preserve"> vai vērstas uz ilgtermiņa investīcijām, vai ir produktīva konkurence;</w:t>
            </w:r>
          </w:p>
          <w:p w14:paraId="06970552" w14:textId="41FA3224" w:rsidR="002F7337" w:rsidRPr="009F0133" w:rsidRDefault="002F7337" w:rsidP="003C1A44">
            <w:pPr>
              <w:pStyle w:val="ListParagraph"/>
              <w:widowControl w:val="0"/>
              <w:numPr>
                <w:ilvl w:val="0"/>
                <w:numId w:val="11"/>
              </w:numPr>
              <w:spacing w:before="40"/>
              <w:rPr>
                <w:rFonts w:ascii="Verdana" w:eastAsia="Verdana" w:hAnsi="Verdana" w:cs="Verdana"/>
                <w:sz w:val="18"/>
                <w:szCs w:val="18"/>
                <w:lang w:val="lv-LV"/>
              </w:rPr>
            </w:pPr>
            <w:r w:rsidRPr="009F0133">
              <w:rPr>
                <w:rFonts w:ascii="Verdana" w:eastAsia="Verdana" w:hAnsi="Verdana" w:cs="Verdana"/>
                <w:sz w:val="18"/>
                <w:szCs w:val="18"/>
                <w:lang w:val="lv-LV"/>
              </w:rPr>
              <w:t>attīstību ietekmē arī pieprasījums - prasīgi klienti, kuru vēlmes atbilst globālajām;</w:t>
            </w:r>
          </w:p>
          <w:p w14:paraId="49276B86" w14:textId="02A823E0" w:rsidR="009E630B" w:rsidRPr="009F0133" w:rsidRDefault="002F7337" w:rsidP="004C254C">
            <w:pPr>
              <w:pStyle w:val="ListParagraph"/>
              <w:widowControl w:val="0"/>
              <w:numPr>
                <w:ilvl w:val="0"/>
                <w:numId w:val="11"/>
              </w:numPr>
              <w:spacing w:before="40"/>
              <w:rPr>
                <w:rFonts w:ascii="Verdana" w:eastAsia="Verdana" w:hAnsi="Verdana" w:cs="Verdana"/>
                <w:sz w:val="18"/>
                <w:szCs w:val="18"/>
                <w:lang w:val="lv-LV"/>
              </w:rPr>
            </w:pPr>
            <w:r w:rsidRPr="009F0133">
              <w:rPr>
                <w:rFonts w:ascii="Verdana" w:eastAsia="Verdana" w:hAnsi="Verdana" w:cs="Verdana"/>
                <w:sz w:val="18"/>
                <w:szCs w:val="18"/>
                <w:lang w:val="lv-LV"/>
              </w:rPr>
              <w:t>nozare var attīstīties, ja ir labi attīstītas arī saistītās nozares (piegādātāji, pakalpojumu sniedzēji).</w:t>
            </w:r>
          </w:p>
        </w:tc>
      </w:tr>
      <w:tr w:rsidR="009E630B" w:rsidRPr="009F0133" w14:paraId="4D15FCDA" w14:textId="77777777" w:rsidTr="006A2DB8">
        <w:trPr>
          <w:trHeight w:val="721"/>
        </w:trPr>
        <w:tc>
          <w:tcPr>
            <w:tcW w:w="2268" w:type="dxa"/>
          </w:tcPr>
          <w:p w14:paraId="367A4EB7" w14:textId="77777777" w:rsidR="009E630B" w:rsidRPr="00D1380A" w:rsidRDefault="00537EAA" w:rsidP="000255A8">
            <w:pPr>
              <w:widowControl w:val="0"/>
              <w:spacing w:before="240"/>
              <w:rPr>
                <w:rFonts w:ascii="Verdana" w:hAnsi="Verdana"/>
                <w:b/>
                <w:sz w:val="18"/>
                <w:szCs w:val="18"/>
              </w:rPr>
            </w:pPr>
            <w:r w:rsidRPr="00D1380A">
              <w:rPr>
                <w:rFonts w:ascii="Verdana" w:hAnsi="Verdana"/>
                <w:b/>
                <w:sz w:val="18"/>
                <w:szCs w:val="18"/>
              </w:rPr>
              <w:t>Formulējamās zināšanas</w:t>
            </w:r>
          </w:p>
          <w:p w14:paraId="0D2A9DAC" w14:textId="77777777" w:rsidR="009E630B" w:rsidRPr="009F0133" w:rsidRDefault="00537EAA" w:rsidP="000255A8">
            <w:pPr>
              <w:widowControl w:val="0"/>
              <w:spacing w:before="240"/>
              <w:rPr>
                <w:rFonts w:ascii="Verdana" w:hAnsi="Verdana"/>
                <w:i/>
                <w:sz w:val="18"/>
                <w:szCs w:val="18"/>
                <w:lang w:val="en-GB"/>
              </w:rPr>
            </w:pPr>
            <w:r w:rsidRPr="009F0133">
              <w:rPr>
                <w:rFonts w:ascii="Verdana" w:hAnsi="Verdana"/>
                <w:i/>
                <w:sz w:val="18"/>
                <w:szCs w:val="18"/>
                <w:lang w:val="en-GB"/>
              </w:rPr>
              <w:t>Explicit knowledge</w:t>
            </w:r>
          </w:p>
        </w:tc>
        <w:tc>
          <w:tcPr>
            <w:tcW w:w="6732" w:type="dxa"/>
          </w:tcPr>
          <w:p w14:paraId="36EF8522" w14:textId="4ABE2D56" w:rsidR="009E630B" w:rsidRPr="009F0133" w:rsidRDefault="00537EAA" w:rsidP="000255A8">
            <w:pPr>
              <w:widowControl w:val="0"/>
              <w:pBdr>
                <w:top w:val="nil"/>
                <w:left w:val="nil"/>
                <w:bottom w:val="nil"/>
                <w:right w:val="nil"/>
                <w:between w:val="nil"/>
              </w:pBdr>
              <w:spacing w:before="240"/>
              <w:rPr>
                <w:rFonts w:ascii="Verdana" w:eastAsia="Verdana" w:hAnsi="Verdana" w:cs="Verdana"/>
                <w:sz w:val="18"/>
                <w:szCs w:val="18"/>
              </w:rPr>
            </w:pPr>
            <w:r w:rsidRPr="009F0133">
              <w:rPr>
                <w:rFonts w:ascii="Verdana" w:eastAsia="Verdana" w:hAnsi="Verdana" w:cs="Verdana"/>
                <w:sz w:val="18"/>
                <w:szCs w:val="18"/>
              </w:rPr>
              <w:t>Zināšanas, ko ir iespējams pierakstīt</w:t>
            </w:r>
            <w:r w:rsidR="0084201A" w:rsidRPr="009F0133">
              <w:rPr>
                <w:rFonts w:ascii="Verdana" w:eastAsia="Verdana" w:hAnsi="Verdana" w:cs="Verdana"/>
                <w:sz w:val="18"/>
                <w:szCs w:val="18"/>
              </w:rPr>
              <w:t>, tās ir kodificētas</w:t>
            </w:r>
            <w:r w:rsidRPr="009F0133">
              <w:rPr>
                <w:rFonts w:ascii="Verdana" w:eastAsia="Verdana" w:hAnsi="Verdana" w:cs="Verdana"/>
                <w:sz w:val="18"/>
                <w:szCs w:val="18"/>
              </w:rPr>
              <w:t xml:space="preserve"> grāmatās, dokumentos, atskaitēs u.c. Zināšanas, ko ir viegli izteikt, ar tām dalīties, tās ir tieši pielietojamas praksē.</w:t>
            </w:r>
          </w:p>
          <w:p w14:paraId="1DD3454A" w14:textId="77777777" w:rsidR="009E630B" w:rsidRPr="009F0133" w:rsidRDefault="00537EAA">
            <w:pPr>
              <w:widowControl w:val="0"/>
              <w:pBdr>
                <w:top w:val="nil"/>
                <w:left w:val="nil"/>
                <w:bottom w:val="nil"/>
                <w:right w:val="nil"/>
                <w:between w:val="nil"/>
              </w:pBdr>
              <w:spacing w:before="40"/>
              <w:rPr>
                <w:rFonts w:ascii="Verdana" w:eastAsia="Verdana" w:hAnsi="Verdana" w:cs="Verdana"/>
                <w:sz w:val="18"/>
                <w:szCs w:val="18"/>
              </w:rPr>
            </w:pPr>
            <w:r w:rsidRPr="009F0133">
              <w:rPr>
                <w:rFonts w:ascii="Verdana" w:eastAsia="Verdana" w:hAnsi="Verdana" w:cs="Verdana"/>
                <w:sz w:val="18"/>
                <w:szCs w:val="18"/>
              </w:rPr>
              <w:t>Formulējamās zināšanas parasti ir objektīvas, racionālas, tehniskas, strukturējamas un fiksētas (nemainās), viegli dokumentējamas un iemācāmas, nav atkarīgas no zināšanu sniedzēja, nav atkarīgas no konteksta (vai šī atkarība ir paredzama) un ir izmantojamas citās situācijās.</w:t>
            </w:r>
          </w:p>
        </w:tc>
      </w:tr>
      <w:tr w:rsidR="009E630B" w:rsidRPr="009F0133" w14:paraId="26EF857D" w14:textId="77777777" w:rsidTr="006A2DB8">
        <w:trPr>
          <w:trHeight w:val="2128"/>
        </w:trPr>
        <w:tc>
          <w:tcPr>
            <w:tcW w:w="2268" w:type="dxa"/>
          </w:tcPr>
          <w:p w14:paraId="5F921049" w14:textId="77777777" w:rsidR="009E630B" w:rsidRPr="00D1380A" w:rsidRDefault="00537EAA" w:rsidP="000255A8">
            <w:pPr>
              <w:widowControl w:val="0"/>
              <w:spacing w:before="240"/>
              <w:rPr>
                <w:rFonts w:ascii="Verdana" w:hAnsi="Verdana"/>
                <w:b/>
                <w:sz w:val="18"/>
                <w:szCs w:val="18"/>
              </w:rPr>
            </w:pPr>
            <w:r w:rsidRPr="00D1380A">
              <w:rPr>
                <w:rFonts w:ascii="Verdana" w:hAnsi="Verdana"/>
                <w:b/>
                <w:sz w:val="18"/>
                <w:szCs w:val="18"/>
              </w:rPr>
              <w:t>Netveramās zināšanas</w:t>
            </w:r>
          </w:p>
          <w:p w14:paraId="0187993D" w14:textId="77777777" w:rsidR="000255A8" w:rsidRPr="009F0133" w:rsidRDefault="000255A8">
            <w:pPr>
              <w:widowControl w:val="0"/>
              <w:rPr>
                <w:rFonts w:ascii="Verdana" w:hAnsi="Verdana"/>
                <w:i/>
                <w:sz w:val="18"/>
                <w:szCs w:val="18"/>
              </w:rPr>
            </w:pPr>
          </w:p>
          <w:p w14:paraId="4A0E6F09" w14:textId="77777777" w:rsidR="009E630B" w:rsidRPr="009F0133" w:rsidRDefault="00537EAA">
            <w:pPr>
              <w:widowControl w:val="0"/>
              <w:rPr>
                <w:rFonts w:ascii="Verdana" w:hAnsi="Verdana"/>
                <w:i/>
                <w:sz w:val="18"/>
                <w:szCs w:val="18"/>
                <w:lang w:val="en-GB"/>
              </w:rPr>
            </w:pPr>
            <w:r w:rsidRPr="009F0133">
              <w:rPr>
                <w:rFonts w:ascii="Verdana" w:hAnsi="Verdana"/>
                <w:i/>
                <w:sz w:val="18"/>
                <w:szCs w:val="18"/>
                <w:lang w:val="en-GB"/>
              </w:rPr>
              <w:t>Tacit knowledge</w:t>
            </w:r>
          </w:p>
        </w:tc>
        <w:tc>
          <w:tcPr>
            <w:tcW w:w="6732" w:type="dxa"/>
          </w:tcPr>
          <w:p w14:paraId="26C676C0" w14:textId="38A309E1" w:rsidR="009E630B" w:rsidRPr="009F0133" w:rsidRDefault="00537EAA" w:rsidP="000255A8">
            <w:pPr>
              <w:widowControl w:val="0"/>
              <w:spacing w:before="240"/>
              <w:rPr>
                <w:rFonts w:ascii="Verdana" w:eastAsia="Verdana" w:hAnsi="Verdana" w:cs="Verdana"/>
                <w:sz w:val="18"/>
                <w:szCs w:val="18"/>
              </w:rPr>
            </w:pPr>
            <w:r w:rsidRPr="009F0133">
              <w:rPr>
                <w:rFonts w:ascii="Verdana" w:eastAsia="Verdana" w:hAnsi="Verdana" w:cs="Verdana"/>
                <w:sz w:val="18"/>
                <w:szCs w:val="18"/>
              </w:rPr>
              <w:t>Zināšanas, kas ir iegūtas caur praktisko pieredzi un darbiem</w:t>
            </w:r>
            <w:r w:rsidR="00FD5921" w:rsidRPr="009F0133">
              <w:rPr>
                <w:rFonts w:ascii="Verdana" w:eastAsia="Verdana" w:hAnsi="Verdana" w:cs="Verdana"/>
                <w:sz w:val="18"/>
                <w:szCs w:val="18"/>
              </w:rPr>
              <w:t>, t.i.</w:t>
            </w:r>
            <w:r w:rsidR="006125F4">
              <w:rPr>
                <w:rFonts w:ascii="Verdana" w:eastAsia="Verdana" w:hAnsi="Verdana" w:cs="Verdana"/>
                <w:sz w:val="18"/>
                <w:szCs w:val="18"/>
              </w:rPr>
              <w:t>,</w:t>
            </w:r>
            <w:r w:rsidR="00FD5921" w:rsidRPr="009F0133">
              <w:rPr>
                <w:rFonts w:ascii="Verdana" w:eastAsia="Verdana" w:hAnsi="Verdana" w:cs="Verdana"/>
                <w:sz w:val="18"/>
                <w:szCs w:val="18"/>
              </w:rPr>
              <w:t xml:space="preserve"> tās vēl ir neformulētas, nekodificētas</w:t>
            </w:r>
            <w:r w:rsidRPr="009F0133">
              <w:rPr>
                <w:rFonts w:ascii="Verdana" w:eastAsia="Verdana" w:hAnsi="Verdana" w:cs="Verdana"/>
                <w:sz w:val="18"/>
                <w:szCs w:val="18"/>
              </w:rPr>
              <w:t xml:space="preserve">. Balstās uz personisko pieredzi un tver grūtāk aprakstāmos un specifiskos darba aspektus, </w:t>
            </w:r>
            <w:proofErr w:type="spellStart"/>
            <w:r w:rsidRPr="009F0133">
              <w:rPr>
                <w:rFonts w:ascii="Verdana" w:eastAsia="Verdana" w:hAnsi="Verdana" w:cs="Verdana"/>
                <w:i/>
                <w:sz w:val="18"/>
                <w:szCs w:val="18"/>
              </w:rPr>
              <w:t>know-how</w:t>
            </w:r>
            <w:r w:rsidRPr="009F0133">
              <w:rPr>
                <w:rFonts w:ascii="Verdana" w:eastAsia="Verdana" w:hAnsi="Verdana" w:cs="Verdana"/>
                <w:sz w:val="18"/>
                <w:szCs w:val="18"/>
              </w:rPr>
              <w:t>.</w:t>
            </w:r>
            <w:proofErr w:type="spellEnd"/>
            <w:r w:rsidRPr="009F0133">
              <w:rPr>
                <w:rFonts w:ascii="Verdana" w:eastAsia="Verdana" w:hAnsi="Verdana" w:cs="Verdana"/>
                <w:sz w:val="18"/>
                <w:szCs w:val="18"/>
              </w:rPr>
              <w:t xml:space="preserve"> Ir atkarīgas no konteksta, grūti pierakstāmas un strukturējamas.</w:t>
            </w:r>
          </w:p>
          <w:p w14:paraId="26C677D2" w14:textId="35B35682" w:rsidR="000255A8" w:rsidRPr="009F0133" w:rsidRDefault="00537EAA">
            <w:pPr>
              <w:widowControl w:val="0"/>
              <w:spacing w:before="40"/>
              <w:rPr>
                <w:rFonts w:ascii="Verdana" w:eastAsia="Verdana" w:hAnsi="Verdana" w:cs="Verdana"/>
                <w:sz w:val="18"/>
                <w:szCs w:val="18"/>
              </w:rPr>
            </w:pPr>
            <w:r w:rsidRPr="009F0133">
              <w:rPr>
                <w:rFonts w:ascii="Verdana" w:eastAsia="Verdana" w:hAnsi="Verdana" w:cs="Verdana"/>
                <w:sz w:val="18"/>
                <w:szCs w:val="18"/>
              </w:rPr>
              <w:t>Netveramās zināšanas ir subjektīvas un personīgas, saistītas ar indivīda uztveri</w:t>
            </w:r>
            <w:r w:rsidR="00A47E36" w:rsidRPr="009F0133">
              <w:rPr>
                <w:rFonts w:ascii="Verdana" w:eastAsia="Verdana" w:hAnsi="Verdana" w:cs="Verdana"/>
                <w:sz w:val="18"/>
                <w:szCs w:val="18"/>
              </w:rPr>
              <w:t>,</w:t>
            </w:r>
            <w:r w:rsidRPr="009F0133">
              <w:rPr>
                <w:rFonts w:ascii="Verdana" w:eastAsia="Verdana" w:hAnsi="Verdana" w:cs="Verdana"/>
                <w:sz w:val="18"/>
                <w:szCs w:val="18"/>
              </w:rPr>
              <w:t xml:space="preserve"> un ir iegūtas praksē, dinamiski rodas un kļūst nederīgas. Tās ir grūti iemācīt</w:t>
            </w:r>
            <w:r w:rsidR="00EE291D" w:rsidRPr="009F0133">
              <w:rPr>
                <w:rFonts w:ascii="Verdana" w:eastAsia="Verdana" w:hAnsi="Verdana" w:cs="Verdana"/>
                <w:sz w:val="18"/>
                <w:szCs w:val="18"/>
              </w:rPr>
              <w:t xml:space="preserve">, </w:t>
            </w:r>
            <w:r w:rsidRPr="009F0133">
              <w:rPr>
                <w:rFonts w:ascii="Verdana" w:eastAsia="Verdana" w:hAnsi="Verdana" w:cs="Verdana"/>
                <w:sz w:val="18"/>
                <w:szCs w:val="18"/>
              </w:rPr>
              <w:t>un tās ir interpretējamas atkarībā no zināšanu sniedzēja un konteksta. Šīm zināšanām ir augsta vērtība, jo tās var iegūt tikai personiskā saskarsmē ar zinātāju.</w:t>
            </w:r>
          </w:p>
        </w:tc>
      </w:tr>
      <w:tr w:rsidR="00A47E36" w:rsidRPr="009F0133" w14:paraId="7438FE00" w14:textId="77777777" w:rsidTr="006A2DB8">
        <w:trPr>
          <w:trHeight w:val="699"/>
        </w:trPr>
        <w:tc>
          <w:tcPr>
            <w:tcW w:w="2268" w:type="dxa"/>
          </w:tcPr>
          <w:p w14:paraId="4DE0C9DA" w14:textId="77777777" w:rsidR="00A47E36" w:rsidRPr="009F0133" w:rsidRDefault="00A47E36" w:rsidP="000255A8">
            <w:pPr>
              <w:widowControl w:val="0"/>
              <w:spacing w:before="240"/>
              <w:rPr>
                <w:rFonts w:ascii="Verdana" w:hAnsi="Verdana" w:cs="Times New Roman"/>
                <w:b/>
                <w:sz w:val="18"/>
                <w:szCs w:val="18"/>
              </w:rPr>
            </w:pPr>
            <w:r w:rsidRPr="009F0133">
              <w:rPr>
                <w:rFonts w:ascii="Verdana" w:hAnsi="Verdana" w:cs="Times New Roman"/>
                <w:b/>
                <w:sz w:val="18"/>
                <w:szCs w:val="18"/>
              </w:rPr>
              <w:lastRenderedPageBreak/>
              <w:t>Ekonomikas izaugsme</w:t>
            </w:r>
          </w:p>
          <w:p w14:paraId="43AC87F0" w14:textId="77777777" w:rsidR="000255A8" w:rsidRPr="009F0133" w:rsidRDefault="000255A8">
            <w:pPr>
              <w:widowControl w:val="0"/>
              <w:rPr>
                <w:rFonts w:ascii="Verdana" w:hAnsi="Verdana"/>
                <w:i/>
                <w:sz w:val="18"/>
                <w:szCs w:val="18"/>
                <w:lang w:val="en-GB"/>
              </w:rPr>
            </w:pPr>
            <w:r w:rsidRPr="009F0133">
              <w:rPr>
                <w:rFonts w:ascii="Verdana" w:hAnsi="Verdana"/>
                <w:i/>
                <w:sz w:val="18"/>
                <w:szCs w:val="18"/>
                <w:lang w:val="en-GB"/>
              </w:rPr>
              <w:t>Economic growth</w:t>
            </w:r>
          </w:p>
        </w:tc>
        <w:tc>
          <w:tcPr>
            <w:tcW w:w="6732" w:type="dxa"/>
          </w:tcPr>
          <w:p w14:paraId="4CE7D090" w14:textId="518EC5DE" w:rsidR="00A47E36" w:rsidRPr="009F0133" w:rsidRDefault="0034050B" w:rsidP="000255A8">
            <w:pPr>
              <w:widowControl w:val="0"/>
              <w:spacing w:before="240"/>
              <w:rPr>
                <w:rFonts w:ascii="Verdana" w:hAnsi="Verdana" w:cs="Times New Roman"/>
                <w:sz w:val="18"/>
                <w:szCs w:val="18"/>
              </w:rPr>
            </w:pPr>
            <w:r w:rsidRPr="009F0133">
              <w:rPr>
                <w:rFonts w:ascii="Verdana" w:hAnsi="Verdana" w:cs="Times New Roman"/>
                <w:sz w:val="18"/>
                <w:szCs w:val="18"/>
              </w:rPr>
              <w:t>Process, kas nodrošina iespējas palielināt preču un pakalpojumu ražošanu valstī, kā arī fiziskā, cilvēciskā un dabas kapitāla kvantitatīvu pieaugumu</w:t>
            </w:r>
            <w:r w:rsidR="004B3F4E">
              <w:rPr>
                <w:rFonts w:ascii="Verdana" w:hAnsi="Verdana" w:cs="Times New Roman"/>
                <w:sz w:val="18"/>
                <w:szCs w:val="18"/>
              </w:rPr>
              <w:t>.</w:t>
            </w:r>
          </w:p>
        </w:tc>
      </w:tr>
      <w:tr w:rsidR="00A47E36" w:rsidRPr="009F0133" w14:paraId="643BCECC" w14:textId="77777777" w:rsidTr="006A2DB8">
        <w:trPr>
          <w:trHeight w:val="850"/>
        </w:trPr>
        <w:tc>
          <w:tcPr>
            <w:tcW w:w="2268" w:type="dxa"/>
          </w:tcPr>
          <w:p w14:paraId="49753019" w14:textId="77777777" w:rsidR="00A47E36" w:rsidRPr="009F0133" w:rsidRDefault="00A47E36" w:rsidP="000255A8">
            <w:pPr>
              <w:widowControl w:val="0"/>
              <w:spacing w:before="240"/>
              <w:rPr>
                <w:rFonts w:ascii="Verdana" w:hAnsi="Verdana" w:cs="Times New Roman"/>
                <w:b/>
                <w:sz w:val="18"/>
                <w:szCs w:val="18"/>
              </w:rPr>
            </w:pPr>
            <w:r w:rsidRPr="009F0133">
              <w:rPr>
                <w:rFonts w:ascii="Verdana" w:hAnsi="Verdana" w:cs="Times New Roman"/>
                <w:b/>
                <w:sz w:val="18"/>
                <w:szCs w:val="18"/>
              </w:rPr>
              <w:t>Ekonomiskā attīstība</w:t>
            </w:r>
          </w:p>
          <w:p w14:paraId="2FC310B7" w14:textId="77777777" w:rsidR="000255A8" w:rsidRPr="009F0133" w:rsidRDefault="000255A8" w:rsidP="000255A8">
            <w:pPr>
              <w:widowControl w:val="0"/>
              <w:spacing w:before="240"/>
              <w:rPr>
                <w:rFonts w:ascii="Verdana" w:hAnsi="Verdana" w:cs="Times New Roman"/>
                <w:i/>
                <w:sz w:val="18"/>
                <w:szCs w:val="18"/>
                <w:lang w:val="en-GB"/>
              </w:rPr>
            </w:pPr>
            <w:r w:rsidRPr="009F0133">
              <w:rPr>
                <w:rFonts w:ascii="Verdana" w:hAnsi="Verdana" w:cs="Times New Roman"/>
                <w:i/>
                <w:sz w:val="18"/>
                <w:szCs w:val="18"/>
                <w:lang w:val="en-GB"/>
              </w:rPr>
              <w:t>Economic development</w:t>
            </w:r>
          </w:p>
        </w:tc>
        <w:tc>
          <w:tcPr>
            <w:tcW w:w="6732" w:type="dxa"/>
          </w:tcPr>
          <w:p w14:paraId="696509F4" w14:textId="444C73AD" w:rsidR="00A47E36" w:rsidRPr="009F0133" w:rsidRDefault="002A6D1A" w:rsidP="000255A8">
            <w:pPr>
              <w:widowControl w:val="0"/>
              <w:spacing w:before="240"/>
              <w:rPr>
                <w:rFonts w:ascii="Verdana" w:hAnsi="Verdana" w:cs="Times New Roman"/>
                <w:sz w:val="18"/>
                <w:szCs w:val="18"/>
              </w:rPr>
            </w:pPr>
            <w:r w:rsidRPr="009F0133">
              <w:rPr>
                <w:rFonts w:ascii="Verdana" w:hAnsi="Verdana" w:cs="Times New Roman"/>
                <w:sz w:val="18"/>
                <w:szCs w:val="18"/>
              </w:rPr>
              <w:t>Pakāpeniskas kvalitatīvas pārmaiņas vairākās jomās, piemēram, ražošanā, izglītībā, zinātnē, kultūrā, iedzīvotāju labklājībā.</w:t>
            </w:r>
          </w:p>
        </w:tc>
      </w:tr>
      <w:tr w:rsidR="00A47E36" w:rsidRPr="009F0133" w14:paraId="3514BC83" w14:textId="77777777" w:rsidTr="006A2DB8">
        <w:trPr>
          <w:trHeight w:val="974"/>
        </w:trPr>
        <w:tc>
          <w:tcPr>
            <w:tcW w:w="2268" w:type="dxa"/>
          </w:tcPr>
          <w:p w14:paraId="65795D4C" w14:textId="77777777" w:rsidR="00A47E36" w:rsidRPr="00D1380A" w:rsidRDefault="00A47E36" w:rsidP="000255A8">
            <w:pPr>
              <w:widowControl w:val="0"/>
              <w:spacing w:before="240"/>
              <w:rPr>
                <w:rFonts w:ascii="Verdana" w:hAnsi="Verdana"/>
                <w:b/>
                <w:sz w:val="18"/>
                <w:szCs w:val="18"/>
              </w:rPr>
            </w:pPr>
            <w:r w:rsidRPr="00D1380A">
              <w:rPr>
                <w:rFonts w:ascii="Verdana" w:hAnsi="Verdana"/>
                <w:b/>
                <w:sz w:val="18"/>
                <w:szCs w:val="18"/>
              </w:rPr>
              <w:t>Normatīvā ekonomika</w:t>
            </w:r>
          </w:p>
          <w:p w14:paraId="7BFD09BE" w14:textId="77777777" w:rsidR="000255A8" w:rsidRPr="009F0133" w:rsidRDefault="000255A8">
            <w:pPr>
              <w:widowControl w:val="0"/>
              <w:rPr>
                <w:rFonts w:ascii="Verdana" w:hAnsi="Verdana"/>
                <w:sz w:val="18"/>
                <w:szCs w:val="18"/>
              </w:rPr>
            </w:pPr>
          </w:p>
          <w:p w14:paraId="356BB5C3" w14:textId="77777777" w:rsidR="000255A8" w:rsidRPr="009F0133" w:rsidRDefault="000255A8">
            <w:pPr>
              <w:widowControl w:val="0"/>
              <w:rPr>
                <w:rFonts w:ascii="Verdana" w:hAnsi="Verdana"/>
                <w:sz w:val="18"/>
                <w:szCs w:val="18"/>
                <w:lang w:val="en-GB"/>
              </w:rPr>
            </w:pPr>
            <w:r w:rsidRPr="009F0133">
              <w:rPr>
                <w:rFonts w:ascii="Verdana" w:hAnsi="Verdana" w:cs="Times New Roman"/>
                <w:i/>
                <w:sz w:val="18"/>
                <w:szCs w:val="18"/>
                <w:lang w:val="en-GB"/>
              </w:rPr>
              <w:t>Normative economics</w:t>
            </w:r>
          </w:p>
        </w:tc>
        <w:tc>
          <w:tcPr>
            <w:tcW w:w="6732" w:type="dxa"/>
          </w:tcPr>
          <w:p w14:paraId="0028B783" w14:textId="6D49C49D" w:rsidR="00A47E36" w:rsidRPr="009F0133" w:rsidRDefault="002A6D1A" w:rsidP="000255A8">
            <w:pPr>
              <w:widowControl w:val="0"/>
              <w:spacing w:before="240"/>
              <w:rPr>
                <w:rFonts w:ascii="Verdana" w:hAnsi="Verdana" w:cs="Times New Roman"/>
                <w:sz w:val="18"/>
                <w:szCs w:val="18"/>
              </w:rPr>
            </w:pPr>
            <w:r w:rsidRPr="009F0133">
              <w:rPr>
                <w:rFonts w:ascii="Verdana" w:hAnsi="Verdana" w:cs="Times New Roman"/>
                <w:sz w:val="18"/>
                <w:szCs w:val="18"/>
              </w:rPr>
              <w:t>Virziens ekonomikas zinātnē, kas dod ar personīgiem subjektīviem slēdzieniem un apgalvojumiem pamatotus priekšlikumus, kādai ir jābūt ekonomikas mērķu izvēlei, to īstenošanai un ekonomikas politikai</w:t>
            </w:r>
            <w:r w:rsidR="004B3F4E">
              <w:rPr>
                <w:rFonts w:ascii="Verdana" w:hAnsi="Verdana" w:cs="Times New Roman"/>
                <w:sz w:val="18"/>
                <w:szCs w:val="18"/>
              </w:rPr>
              <w:t>.</w:t>
            </w:r>
          </w:p>
        </w:tc>
      </w:tr>
      <w:tr w:rsidR="00A47E36" w:rsidRPr="009F0133" w14:paraId="2FF50118" w14:textId="77777777" w:rsidTr="006A2DB8">
        <w:trPr>
          <w:trHeight w:val="973"/>
        </w:trPr>
        <w:tc>
          <w:tcPr>
            <w:tcW w:w="2268" w:type="dxa"/>
          </w:tcPr>
          <w:p w14:paraId="7790AF9A" w14:textId="77777777" w:rsidR="00A47E36" w:rsidRPr="00D1380A" w:rsidRDefault="00A47E36" w:rsidP="000255A8">
            <w:pPr>
              <w:widowControl w:val="0"/>
              <w:spacing w:before="240"/>
              <w:rPr>
                <w:rFonts w:ascii="Verdana" w:hAnsi="Verdana"/>
                <w:b/>
                <w:sz w:val="18"/>
                <w:szCs w:val="18"/>
              </w:rPr>
            </w:pPr>
            <w:r w:rsidRPr="00D1380A">
              <w:rPr>
                <w:rFonts w:ascii="Verdana" w:hAnsi="Verdana"/>
                <w:b/>
                <w:sz w:val="18"/>
                <w:szCs w:val="18"/>
              </w:rPr>
              <w:t>Pozitīvā</w:t>
            </w:r>
            <w:r w:rsidRPr="006A2DB8">
              <w:rPr>
                <w:rFonts w:ascii="Verdana" w:hAnsi="Verdana" w:cs="Times New Roman"/>
                <w:b/>
                <w:color w:val="FF0000"/>
                <w:sz w:val="18"/>
                <w:szCs w:val="18"/>
              </w:rPr>
              <w:t xml:space="preserve"> </w:t>
            </w:r>
            <w:r w:rsidRPr="00D1380A">
              <w:rPr>
                <w:rFonts w:ascii="Verdana" w:hAnsi="Verdana"/>
                <w:b/>
                <w:sz w:val="18"/>
                <w:szCs w:val="18"/>
              </w:rPr>
              <w:t>ekonomika </w:t>
            </w:r>
          </w:p>
          <w:p w14:paraId="04AD9026" w14:textId="77777777" w:rsidR="000255A8" w:rsidRPr="006A2DB8" w:rsidRDefault="000255A8">
            <w:pPr>
              <w:widowControl w:val="0"/>
              <w:rPr>
                <w:rFonts w:ascii="Verdana" w:hAnsi="Verdana"/>
                <w:color w:val="FF0000"/>
                <w:sz w:val="18"/>
                <w:szCs w:val="18"/>
              </w:rPr>
            </w:pPr>
          </w:p>
          <w:p w14:paraId="117FB62F" w14:textId="77777777" w:rsidR="000255A8" w:rsidRPr="009F0133" w:rsidRDefault="000255A8">
            <w:pPr>
              <w:widowControl w:val="0"/>
              <w:rPr>
                <w:rFonts w:ascii="Verdana" w:hAnsi="Verdana"/>
                <w:sz w:val="18"/>
                <w:szCs w:val="18"/>
                <w:lang w:val="en-GB"/>
              </w:rPr>
            </w:pPr>
            <w:r w:rsidRPr="009F0133">
              <w:rPr>
                <w:rFonts w:ascii="Verdana" w:hAnsi="Verdana" w:cs="Times New Roman"/>
                <w:i/>
                <w:sz w:val="18"/>
                <w:szCs w:val="18"/>
                <w:lang w:val="en-GB"/>
              </w:rPr>
              <w:t>Positive economics</w:t>
            </w:r>
          </w:p>
        </w:tc>
        <w:tc>
          <w:tcPr>
            <w:tcW w:w="6732" w:type="dxa"/>
          </w:tcPr>
          <w:p w14:paraId="6B7CDB46" w14:textId="1463AE95" w:rsidR="00A47E36" w:rsidRPr="009F0133" w:rsidRDefault="002A6D1A" w:rsidP="000255A8">
            <w:pPr>
              <w:widowControl w:val="0"/>
              <w:spacing w:before="240"/>
              <w:rPr>
                <w:rFonts w:ascii="Verdana" w:hAnsi="Verdana" w:cs="Times New Roman"/>
                <w:sz w:val="18"/>
                <w:szCs w:val="18"/>
              </w:rPr>
            </w:pPr>
            <w:r w:rsidRPr="009F0133">
              <w:rPr>
                <w:rFonts w:ascii="Verdana" w:hAnsi="Verdana" w:cs="Times New Roman"/>
                <w:sz w:val="18"/>
                <w:szCs w:val="18"/>
              </w:rPr>
              <w:t>Virziens ekonomikas zinātnē, kas atklāj un analizē dažādas objektīvās ekonomiskās likumsakarības, kuras veido ekonomiskās rīcības principu pamatu. Tā atbild uz jautājumiem: kas ir? kas bija? kas var būt?</w:t>
            </w:r>
          </w:p>
        </w:tc>
      </w:tr>
      <w:tr w:rsidR="00A47E36" w:rsidRPr="009F0133" w14:paraId="7B438E54" w14:textId="77777777" w:rsidTr="006A2DB8">
        <w:trPr>
          <w:trHeight w:val="845"/>
        </w:trPr>
        <w:tc>
          <w:tcPr>
            <w:tcW w:w="2268" w:type="dxa"/>
          </w:tcPr>
          <w:p w14:paraId="6537C883" w14:textId="1FADA046" w:rsidR="00A47E36" w:rsidRPr="00D1380A" w:rsidRDefault="00A47E36" w:rsidP="000255A8">
            <w:pPr>
              <w:widowControl w:val="0"/>
              <w:spacing w:before="240"/>
              <w:rPr>
                <w:rFonts w:ascii="Verdana" w:hAnsi="Verdana"/>
                <w:b/>
                <w:sz w:val="18"/>
                <w:szCs w:val="18"/>
              </w:rPr>
            </w:pPr>
            <w:proofErr w:type="spellStart"/>
            <w:r w:rsidRPr="00D1380A">
              <w:rPr>
                <w:rFonts w:ascii="Verdana" w:hAnsi="Verdana"/>
                <w:b/>
                <w:sz w:val="18"/>
                <w:szCs w:val="18"/>
              </w:rPr>
              <w:t>Kompozīt</w:t>
            </w:r>
            <w:proofErr w:type="spellEnd"/>
            <w:r w:rsidR="00E274C3" w:rsidRPr="00D1380A">
              <w:rPr>
                <w:rFonts w:ascii="Verdana" w:hAnsi="Verdana"/>
                <w:b/>
                <w:sz w:val="18"/>
                <w:szCs w:val="18"/>
              </w:rPr>
              <w:t xml:space="preserve"> </w:t>
            </w:r>
            <w:r w:rsidRPr="00D1380A">
              <w:rPr>
                <w:rFonts w:ascii="Verdana" w:hAnsi="Verdana"/>
                <w:b/>
                <w:sz w:val="18"/>
                <w:szCs w:val="18"/>
              </w:rPr>
              <w:t>rādītāj</w:t>
            </w:r>
            <w:r w:rsidR="000255A8" w:rsidRPr="00D1380A">
              <w:rPr>
                <w:rFonts w:ascii="Verdana" w:hAnsi="Verdana"/>
                <w:b/>
                <w:sz w:val="18"/>
                <w:szCs w:val="18"/>
              </w:rPr>
              <w:t xml:space="preserve">s </w:t>
            </w:r>
            <w:r w:rsidRPr="00D1380A">
              <w:rPr>
                <w:rFonts w:ascii="Verdana" w:hAnsi="Verdana"/>
                <w:b/>
                <w:sz w:val="18"/>
                <w:szCs w:val="18"/>
              </w:rPr>
              <w:t>(indeks</w:t>
            </w:r>
            <w:r w:rsidR="000255A8" w:rsidRPr="00D1380A">
              <w:rPr>
                <w:rFonts w:ascii="Verdana" w:hAnsi="Verdana"/>
                <w:b/>
                <w:sz w:val="18"/>
                <w:szCs w:val="18"/>
              </w:rPr>
              <w:t>s</w:t>
            </w:r>
            <w:r w:rsidRPr="00D1380A">
              <w:rPr>
                <w:rFonts w:ascii="Verdana" w:hAnsi="Verdana"/>
                <w:b/>
                <w:sz w:val="18"/>
                <w:szCs w:val="18"/>
              </w:rPr>
              <w:t>) </w:t>
            </w:r>
          </w:p>
          <w:p w14:paraId="28143EC8" w14:textId="77777777" w:rsidR="000255A8" w:rsidRPr="009F0133" w:rsidRDefault="000255A8" w:rsidP="000255A8">
            <w:pPr>
              <w:widowControl w:val="0"/>
              <w:rPr>
                <w:rFonts w:ascii="Verdana" w:hAnsi="Verdana"/>
                <w:sz w:val="18"/>
                <w:szCs w:val="18"/>
                <w:lang w:val="en-GB"/>
              </w:rPr>
            </w:pPr>
            <w:r w:rsidRPr="009F0133">
              <w:rPr>
                <w:rFonts w:ascii="Verdana" w:hAnsi="Verdana" w:cs="Times New Roman"/>
                <w:i/>
                <w:sz w:val="18"/>
                <w:szCs w:val="18"/>
                <w:lang w:val="en-GB"/>
              </w:rPr>
              <w:t>Composite index</w:t>
            </w:r>
          </w:p>
        </w:tc>
        <w:tc>
          <w:tcPr>
            <w:tcW w:w="6732" w:type="dxa"/>
          </w:tcPr>
          <w:p w14:paraId="2BB9356E" w14:textId="0FC9ED44" w:rsidR="00A47E36" w:rsidRPr="009F0133" w:rsidRDefault="002971EB" w:rsidP="000255A8">
            <w:pPr>
              <w:widowControl w:val="0"/>
              <w:spacing w:before="240"/>
              <w:rPr>
                <w:rFonts w:ascii="Verdana" w:hAnsi="Verdana" w:cs="Times New Roman"/>
                <w:sz w:val="18"/>
                <w:szCs w:val="18"/>
              </w:rPr>
            </w:pPr>
            <w:r w:rsidRPr="009F0133">
              <w:rPr>
                <w:rFonts w:ascii="Verdana" w:hAnsi="Verdana" w:cs="Times New Roman"/>
                <w:sz w:val="18"/>
                <w:szCs w:val="18"/>
              </w:rPr>
              <w:t>Vairāku rādītāju (faktoru) svērtais vidējais lielums.</w:t>
            </w:r>
          </w:p>
        </w:tc>
      </w:tr>
      <w:tr w:rsidR="00A47E36" w:rsidRPr="009F0133" w14:paraId="382BE4A4" w14:textId="77777777" w:rsidTr="006A2DB8">
        <w:trPr>
          <w:trHeight w:val="999"/>
        </w:trPr>
        <w:tc>
          <w:tcPr>
            <w:tcW w:w="2268" w:type="dxa"/>
          </w:tcPr>
          <w:p w14:paraId="69B836C2" w14:textId="77777777" w:rsidR="00A47E36" w:rsidRPr="009F0133" w:rsidRDefault="00A47E36" w:rsidP="000255A8">
            <w:pPr>
              <w:widowControl w:val="0"/>
              <w:spacing w:before="240"/>
              <w:rPr>
                <w:rFonts w:ascii="Verdana" w:hAnsi="Verdana" w:cs="Times New Roman"/>
                <w:b/>
                <w:sz w:val="18"/>
                <w:szCs w:val="18"/>
              </w:rPr>
            </w:pPr>
            <w:r w:rsidRPr="009F0133">
              <w:rPr>
                <w:rFonts w:ascii="Verdana" w:hAnsi="Verdana" w:cs="Times New Roman"/>
                <w:b/>
                <w:sz w:val="18"/>
                <w:szCs w:val="18"/>
              </w:rPr>
              <w:t>Strukturālā transformācija</w:t>
            </w:r>
          </w:p>
          <w:p w14:paraId="5B198F42" w14:textId="77777777" w:rsidR="000255A8" w:rsidRPr="009F0133" w:rsidRDefault="000255A8">
            <w:pPr>
              <w:widowControl w:val="0"/>
              <w:rPr>
                <w:rFonts w:ascii="Verdana" w:hAnsi="Verdana"/>
                <w:sz w:val="18"/>
                <w:szCs w:val="18"/>
              </w:rPr>
            </w:pPr>
          </w:p>
          <w:p w14:paraId="7E99CE8F" w14:textId="77777777" w:rsidR="000255A8" w:rsidRPr="009F0133" w:rsidRDefault="000255A8">
            <w:pPr>
              <w:widowControl w:val="0"/>
              <w:rPr>
                <w:rFonts w:ascii="Verdana" w:hAnsi="Verdana"/>
                <w:sz w:val="18"/>
                <w:szCs w:val="18"/>
                <w:lang w:val="en-GB"/>
              </w:rPr>
            </w:pPr>
            <w:r w:rsidRPr="009F0133">
              <w:rPr>
                <w:rFonts w:ascii="Verdana" w:hAnsi="Verdana" w:cs="Times New Roman"/>
                <w:i/>
                <w:sz w:val="18"/>
                <w:szCs w:val="18"/>
                <w:lang w:val="en-GB"/>
              </w:rPr>
              <w:t xml:space="preserve">Structural transformation </w:t>
            </w:r>
          </w:p>
        </w:tc>
        <w:tc>
          <w:tcPr>
            <w:tcW w:w="6732" w:type="dxa"/>
          </w:tcPr>
          <w:p w14:paraId="6D964041" w14:textId="491D04EA" w:rsidR="00A47E36" w:rsidRPr="009F0133" w:rsidRDefault="002971EB" w:rsidP="000255A8">
            <w:pPr>
              <w:widowControl w:val="0"/>
              <w:spacing w:before="240"/>
              <w:rPr>
                <w:rFonts w:ascii="Verdana" w:hAnsi="Verdana" w:cs="Times New Roman"/>
                <w:sz w:val="18"/>
                <w:szCs w:val="18"/>
              </w:rPr>
            </w:pPr>
            <w:r w:rsidRPr="009F0133">
              <w:rPr>
                <w:rFonts w:ascii="Verdana" w:hAnsi="Verdana" w:cs="Times New Roman"/>
                <w:sz w:val="18"/>
                <w:szCs w:val="18"/>
              </w:rPr>
              <w:t>Process, kas saistīts ar darbaspēka un citu ražošanas resursu pārvietošanu no zemas produktivitātes uz augstas produktivitātes darbības jomam (nozarēm).</w:t>
            </w:r>
          </w:p>
        </w:tc>
      </w:tr>
      <w:tr w:rsidR="00A47E36" w:rsidRPr="009F0133" w14:paraId="3A2F418C" w14:textId="77777777" w:rsidTr="006A2DB8">
        <w:trPr>
          <w:trHeight w:val="844"/>
        </w:trPr>
        <w:tc>
          <w:tcPr>
            <w:tcW w:w="2268" w:type="dxa"/>
          </w:tcPr>
          <w:p w14:paraId="06EF3821" w14:textId="77777777" w:rsidR="00A47E36" w:rsidRPr="00BC7A76" w:rsidRDefault="00A47E36" w:rsidP="000255A8">
            <w:pPr>
              <w:widowControl w:val="0"/>
              <w:spacing w:before="240"/>
              <w:rPr>
                <w:rFonts w:ascii="Verdana" w:hAnsi="Verdana" w:cs="Times New Roman"/>
                <w:b/>
                <w:color w:val="FF0000"/>
                <w:sz w:val="18"/>
                <w:szCs w:val="18"/>
              </w:rPr>
            </w:pPr>
            <w:r w:rsidRPr="00D1380A">
              <w:rPr>
                <w:rFonts w:ascii="Verdana" w:hAnsi="Verdana"/>
                <w:b/>
                <w:sz w:val="18"/>
                <w:szCs w:val="18"/>
              </w:rPr>
              <w:t>Struktūrpolitika</w:t>
            </w:r>
          </w:p>
          <w:p w14:paraId="22490795" w14:textId="77777777" w:rsidR="000255A8" w:rsidRPr="009F0133" w:rsidRDefault="000255A8" w:rsidP="000E0596">
            <w:pPr>
              <w:widowControl w:val="0"/>
              <w:spacing w:before="240"/>
              <w:rPr>
                <w:rFonts w:ascii="Verdana" w:hAnsi="Verdana"/>
                <w:i/>
                <w:sz w:val="18"/>
                <w:szCs w:val="18"/>
                <w:lang w:val="en-GB"/>
              </w:rPr>
            </w:pPr>
            <w:r w:rsidRPr="009F0133">
              <w:rPr>
                <w:rFonts w:ascii="Verdana" w:hAnsi="Verdana"/>
                <w:i/>
                <w:sz w:val="18"/>
                <w:szCs w:val="18"/>
                <w:lang w:val="en-GB"/>
              </w:rPr>
              <w:t>Structural politics</w:t>
            </w:r>
          </w:p>
        </w:tc>
        <w:tc>
          <w:tcPr>
            <w:tcW w:w="6732" w:type="dxa"/>
          </w:tcPr>
          <w:p w14:paraId="66B49E71" w14:textId="74247FF3" w:rsidR="000E0596" w:rsidRPr="009F0133" w:rsidRDefault="002971EB" w:rsidP="000E0596">
            <w:pPr>
              <w:widowControl w:val="0"/>
              <w:spacing w:before="240"/>
              <w:rPr>
                <w:rFonts w:ascii="Verdana" w:hAnsi="Verdana" w:cs="Times New Roman"/>
                <w:sz w:val="18"/>
                <w:szCs w:val="18"/>
              </w:rPr>
            </w:pPr>
            <w:r w:rsidRPr="009F0133">
              <w:rPr>
                <w:rFonts w:ascii="Verdana" w:hAnsi="Verdana" w:cs="Times New Roman"/>
                <w:sz w:val="18"/>
                <w:szCs w:val="18"/>
              </w:rPr>
              <w:t>Valsts politika, kas vērsta uz efektīvu nozaru un starpnozaru proporciju veidošanu un uzturēšanu tautsaimniecībā.</w:t>
            </w:r>
          </w:p>
        </w:tc>
      </w:tr>
      <w:tr w:rsidR="00A47E36" w:rsidRPr="009F0133" w14:paraId="3DA8CDB8" w14:textId="77777777" w:rsidTr="006A2DB8">
        <w:trPr>
          <w:trHeight w:val="955"/>
        </w:trPr>
        <w:tc>
          <w:tcPr>
            <w:tcW w:w="2268" w:type="dxa"/>
          </w:tcPr>
          <w:p w14:paraId="41F2724C" w14:textId="77777777" w:rsidR="00A47E36" w:rsidRPr="00BC7A76" w:rsidRDefault="00A47E36" w:rsidP="000E0596">
            <w:pPr>
              <w:widowControl w:val="0"/>
              <w:spacing w:before="240"/>
              <w:rPr>
                <w:rFonts w:ascii="Verdana" w:hAnsi="Verdana" w:cs="Times New Roman"/>
                <w:b/>
                <w:color w:val="FF0000"/>
                <w:sz w:val="18"/>
                <w:szCs w:val="18"/>
              </w:rPr>
            </w:pPr>
            <w:r w:rsidRPr="00D1380A">
              <w:rPr>
                <w:rFonts w:ascii="Verdana" w:hAnsi="Verdana"/>
                <w:b/>
                <w:sz w:val="18"/>
                <w:szCs w:val="18"/>
              </w:rPr>
              <w:t>Vertikāla politika</w:t>
            </w:r>
          </w:p>
          <w:p w14:paraId="0D17B0AB" w14:textId="77777777" w:rsidR="000255A8" w:rsidRPr="009F0133" w:rsidRDefault="000255A8" w:rsidP="000E0596">
            <w:pPr>
              <w:widowControl w:val="0"/>
              <w:spacing w:before="240"/>
              <w:rPr>
                <w:rFonts w:ascii="Verdana" w:hAnsi="Verdana"/>
                <w:i/>
                <w:sz w:val="18"/>
                <w:szCs w:val="18"/>
                <w:lang w:val="en-GB"/>
              </w:rPr>
            </w:pPr>
            <w:r w:rsidRPr="009F0133">
              <w:rPr>
                <w:rFonts w:ascii="Verdana" w:hAnsi="Verdana"/>
                <w:i/>
                <w:sz w:val="18"/>
                <w:szCs w:val="18"/>
                <w:lang w:val="en-GB"/>
              </w:rPr>
              <w:t>Vertical politics</w:t>
            </w:r>
          </w:p>
        </w:tc>
        <w:tc>
          <w:tcPr>
            <w:tcW w:w="6732" w:type="dxa"/>
          </w:tcPr>
          <w:p w14:paraId="60E1488A" w14:textId="0026584F" w:rsidR="00A47E36" w:rsidRPr="009F0133" w:rsidRDefault="000E0596" w:rsidP="000E0596">
            <w:pPr>
              <w:widowControl w:val="0"/>
              <w:spacing w:before="240"/>
              <w:rPr>
                <w:rFonts w:ascii="Verdana" w:eastAsia="Verdana" w:hAnsi="Verdana" w:cs="Verdana"/>
                <w:sz w:val="18"/>
                <w:szCs w:val="18"/>
              </w:rPr>
            </w:pPr>
            <w:r w:rsidRPr="009F0133">
              <w:rPr>
                <w:rFonts w:ascii="Verdana" w:hAnsi="Verdana" w:cs="Times New Roman"/>
                <w:sz w:val="18"/>
                <w:szCs w:val="18"/>
              </w:rPr>
              <w:t xml:space="preserve">Arī </w:t>
            </w:r>
            <w:r w:rsidR="00A47E36" w:rsidRPr="009F0133">
              <w:rPr>
                <w:rFonts w:ascii="Verdana" w:hAnsi="Verdana" w:cs="Times New Roman"/>
                <w:sz w:val="18"/>
                <w:szCs w:val="18"/>
              </w:rPr>
              <w:t>selektīv</w:t>
            </w:r>
            <w:r w:rsidR="00AA0BD5" w:rsidRPr="009F0133">
              <w:rPr>
                <w:rFonts w:ascii="Verdana" w:hAnsi="Verdana" w:cs="Times New Roman"/>
                <w:sz w:val="18"/>
                <w:szCs w:val="18"/>
              </w:rPr>
              <w:t xml:space="preserve">ā </w:t>
            </w:r>
            <w:r w:rsidR="00A47E36" w:rsidRPr="009F0133">
              <w:rPr>
                <w:rFonts w:ascii="Verdana" w:hAnsi="Verdana" w:cs="Times New Roman"/>
                <w:sz w:val="18"/>
                <w:szCs w:val="18"/>
              </w:rPr>
              <w:t>politika</w:t>
            </w:r>
            <w:r w:rsidR="00AA0BD5" w:rsidRPr="009F0133">
              <w:rPr>
                <w:rFonts w:ascii="Verdana" w:hAnsi="Verdana" w:cs="Times New Roman"/>
                <w:sz w:val="18"/>
                <w:szCs w:val="18"/>
              </w:rPr>
              <w:t>. T</w:t>
            </w:r>
            <w:r w:rsidRPr="009F0133">
              <w:rPr>
                <w:rFonts w:ascii="Verdana" w:hAnsi="Verdana" w:cs="Times New Roman"/>
                <w:sz w:val="18"/>
                <w:szCs w:val="18"/>
              </w:rPr>
              <w:t xml:space="preserve">ā </w:t>
            </w:r>
            <w:r w:rsidR="00A47E36" w:rsidRPr="009F0133">
              <w:rPr>
                <w:rFonts w:ascii="Verdana" w:hAnsi="Verdana" w:cs="Times New Roman"/>
                <w:sz w:val="18"/>
                <w:szCs w:val="18"/>
              </w:rPr>
              <w:t>ir politika, kas apzināti dod priekšroku atsevišķām nozarēm vai uzņēmumiem ar mērķ</w:t>
            </w:r>
            <w:r w:rsidR="00B67D06" w:rsidRPr="009F0133">
              <w:rPr>
                <w:rFonts w:ascii="Verdana" w:hAnsi="Verdana" w:cs="Times New Roman"/>
                <w:sz w:val="18"/>
                <w:szCs w:val="18"/>
              </w:rPr>
              <w:t>i</w:t>
            </w:r>
            <w:r w:rsidR="006B05F0" w:rsidRPr="009F0133">
              <w:rPr>
                <w:rFonts w:ascii="Verdana" w:hAnsi="Verdana" w:cs="Times New Roman"/>
                <w:sz w:val="18"/>
                <w:szCs w:val="18"/>
              </w:rPr>
              <w:t xml:space="preserve"> </w:t>
            </w:r>
            <w:r w:rsidR="00A47E36" w:rsidRPr="009F0133">
              <w:rPr>
                <w:rFonts w:ascii="Verdana" w:hAnsi="Verdana" w:cs="Times New Roman"/>
                <w:sz w:val="18"/>
                <w:szCs w:val="18"/>
              </w:rPr>
              <w:t>palielināt to konkurētspēju</w:t>
            </w:r>
          </w:p>
        </w:tc>
      </w:tr>
      <w:tr w:rsidR="00A47E36" w:rsidRPr="009F0133" w14:paraId="6E985C40" w14:textId="77777777" w:rsidTr="006A2DB8">
        <w:trPr>
          <w:trHeight w:val="991"/>
        </w:trPr>
        <w:tc>
          <w:tcPr>
            <w:tcW w:w="2268" w:type="dxa"/>
          </w:tcPr>
          <w:p w14:paraId="0FE8E1CA" w14:textId="77777777" w:rsidR="00A47E36" w:rsidRPr="00D1380A" w:rsidRDefault="00A47E36" w:rsidP="000E0596">
            <w:pPr>
              <w:widowControl w:val="0"/>
              <w:spacing w:before="240"/>
              <w:rPr>
                <w:rFonts w:ascii="Verdana" w:hAnsi="Verdana"/>
                <w:b/>
                <w:sz w:val="18"/>
                <w:szCs w:val="18"/>
              </w:rPr>
            </w:pPr>
            <w:r w:rsidRPr="00D1380A">
              <w:rPr>
                <w:rFonts w:ascii="Verdana" w:hAnsi="Verdana"/>
                <w:b/>
                <w:sz w:val="18"/>
                <w:szCs w:val="18"/>
              </w:rPr>
              <w:t>Horizontālā politika</w:t>
            </w:r>
          </w:p>
          <w:p w14:paraId="742AC2F8" w14:textId="77777777" w:rsidR="000255A8" w:rsidRPr="009F0133" w:rsidRDefault="000E0596" w:rsidP="000E0596">
            <w:pPr>
              <w:widowControl w:val="0"/>
              <w:spacing w:before="240"/>
              <w:rPr>
                <w:rFonts w:ascii="Verdana" w:hAnsi="Verdana" w:cs="Times New Roman"/>
                <w:b/>
                <w:i/>
                <w:sz w:val="18"/>
                <w:szCs w:val="18"/>
                <w:lang w:val="en-GB"/>
              </w:rPr>
            </w:pPr>
            <w:r w:rsidRPr="009F0133">
              <w:rPr>
                <w:rFonts w:ascii="Verdana" w:hAnsi="Verdana"/>
                <w:i/>
                <w:sz w:val="18"/>
                <w:szCs w:val="18"/>
                <w:lang w:val="en-GB"/>
              </w:rPr>
              <w:t>Horizontal politics</w:t>
            </w:r>
          </w:p>
        </w:tc>
        <w:tc>
          <w:tcPr>
            <w:tcW w:w="6732" w:type="dxa"/>
          </w:tcPr>
          <w:p w14:paraId="278693F7" w14:textId="47AF5B07" w:rsidR="00A47E36" w:rsidRPr="009F0133" w:rsidRDefault="000E0596" w:rsidP="000E0596">
            <w:pPr>
              <w:widowControl w:val="0"/>
              <w:spacing w:before="240"/>
              <w:rPr>
                <w:rFonts w:ascii="Verdana" w:hAnsi="Verdana" w:cs="Times New Roman"/>
                <w:sz w:val="18"/>
                <w:szCs w:val="18"/>
              </w:rPr>
            </w:pPr>
            <w:r w:rsidRPr="009F0133">
              <w:rPr>
                <w:rFonts w:ascii="Verdana" w:hAnsi="Verdana" w:cs="Times New Roman"/>
                <w:sz w:val="18"/>
                <w:szCs w:val="18"/>
              </w:rPr>
              <w:t xml:space="preserve">Arī </w:t>
            </w:r>
            <w:r w:rsidR="00A47E36" w:rsidRPr="009F0133">
              <w:rPr>
                <w:rFonts w:ascii="Verdana" w:hAnsi="Verdana" w:cs="Times New Roman"/>
                <w:sz w:val="18"/>
                <w:szCs w:val="18"/>
              </w:rPr>
              <w:t>funkcionāl</w:t>
            </w:r>
            <w:r w:rsidRPr="009F0133">
              <w:rPr>
                <w:rFonts w:ascii="Verdana" w:hAnsi="Verdana" w:cs="Times New Roman"/>
                <w:sz w:val="18"/>
                <w:szCs w:val="18"/>
              </w:rPr>
              <w:t xml:space="preserve">ā </w:t>
            </w:r>
            <w:r w:rsidR="00A47E36" w:rsidRPr="009F0133">
              <w:rPr>
                <w:rFonts w:ascii="Verdana" w:hAnsi="Verdana" w:cs="Times New Roman"/>
                <w:sz w:val="18"/>
                <w:szCs w:val="18"/>
              </w:rPr>
              <w:t>politika</w:t>
            </w:r>
            <w:r w:rsidR="00AA0BD5" w:rsidRPr="009F0133">
              <w:rPr>
                <w:rFonts w:ascii="Verdana" w:hAnsi="Verdana" w:cs="Times New Roman"/>
                <w:sz w:val="18"/>
                <w:szCs w:val="18"/>
              </w:rPr>
              <w:t>.</w:t>
            </w:r>
            <w:r w:rsidRPr="009F0133">
              <w:rPr>
                <w:rFonts w:ascii="Verdana" w:hAnsi="Verdana" w:cs="Times New Roman"/>
                <w:sz w:val="18"/>
                <w:szCs w:val="18"/>
              </w:rPr>
              <w:t xml:space="preserve"> </w:t>
            </w:r>
            <w:r w:rsidR="00AA0BD5" w:rsidRPr="009F0133">
              <w:rPr>
                <w:rFonts w:ascii="Verdana" w:hAnsi="Verdana" w:cs="Times New Roman"/>
                <w:sz w:val="18"/>
                <w:szCs w:val="18"/>
              </w:rPr>
              <w:t>T</w:t>
            </w:r>
            <w:r w:rsidRPr="009F0133">
              <w:rPr>
                <w:rFonts w:ascii="Verdana" w:hAnsi="Verdana" w:cs="Times New Roman"/>
                <w:sz w:val="18"/>
                <w:szCs w:val="18"/>
              </w:rPr>
              <w:t xml:space="preserve">ā </w:t>
            </w:r>
            <w:r w:rsidR="00A47E36" w:rsidRPr="009F0133">
              <w:rPr>
                <w:rFonts w:ascii="Verdana" w:hAnsi="Verdana" w:cs="Times New Roman"/>
                <w:sz w:val="18"/>
                <w:szCs w:val="18"/>
              </w:rPr>
              <w:t>ir orientēta uz izaugsmi visās nozarēs. Tās mērķis ir radīt labvēlīgu uzņēmējdarbības vidi, kas tiek panākts, veidojot efektīvāku motivācijas sistēmu, izglītības sistēmu, inovācijas sistēmu, veicinot kapitāla tirgus attīstību un infrastruktūras attīstību.</w:t>
            </w:r>
          </w:p>
          <w:p w14:paraId="70E7258C" w14:textId="77777777" w:rsidR="00A47E36" w:rsidRPr="009F0133" w:rsidRDefault="00A47E36">
            <w:pPr>
              <w:widowControl w:val="0"/>
              <w:spacing w:before="40"/>
              <w:rPr>
                <w:rFonts w:ascii="Verdana" w:hAnsi="Verdana" w:cs="Times New Roman"/>
                <w:sz w:val="18"/>
                <w:szCs w:val="18"/>
              </w:rPr>
            </w:pPr>
          </w:p>
        </w:tc>
      </w:tr>
      <w:tr w:rsidR="000B462D" w:rsidRPr="009F0133" w14:paraId="48ADCDD3" w14:textId="77777777" w:rsidTr="006A2DB8">
        <w:trPr>
          <w:trHeight w:val="1001"/>
        </w:trPr>
        <w:tc>
          <w:tcPr>
            <w:tcW w:w="2268" w:type="dxa"/>
          </w:tcPr>
          <w:p w14:paraId="32CCE9AF" w14:textId="77777777" w:rsidR="00B05E3B" w:rsidRPr="009F0133" w:rsidRDefault="001D4089" w:rsidP="000E0596">
            <w:pPr>
              <w:widowControl w:val="0"/>
              <w:spacing w:before="240"/>
              <w:rPr>
                <w:rFonts w:ascii="Verdana" w:hAnsi="Verdana" w:cs="Times New Roman"/>
                <w:b/>
                <w:sz w:val="18"/>
                <w:szCs w:val="18"/>
              </w:rPr>
            </w:pPr>
            <w:r w:rsidRPr="009F0133">
              <w:rPr>
                <w:rFonts w:ascii="Verdana" w:hAnsi="Verdana" w:cs="Times New Roman"/>
                <w:b/>
                <w:sz w:val="18"/>
                <w:szCs w:val="18"/>
              </w:rPr>
              <w:t>Diversifikācija, </w:t>
            </w:r>
          </w:p>
          <w:p w14:paraId="6EFDF73E" w14:textId="77777777" w:rsidR="004C254C" w:rsidRPr="009F0133" w:rsidRDefault="001D4089" w:rsidP="004C254C">
            <w:pPr>
              <w:widowControl w:val="0"/>
              <w:rPr>
                <w:rFonts w:ascii="Verdana" w:hAnsi="Verdana" w:cs="Times New Roman"/>
                <w:b/>
                <w:sz w:val="18"/>
                <w:szCs w:val="18"/>
              </w:rPr>
            </w:pPr>
            <w:r w:rsidRPr="009F0133">
              <w:rPr>
                <w:rFonts w:ascii="Verdana" w:hAnsi="Verdana" w:cs="Times New Roman"/>
                <w:b/>
                <w:sz w:val="18"/>
                <w:szCs w:val="18"/>
              </w:rPr>
              <w:t>diversificēšana</w:t>
            </w:r>
            <w:r w:rsidR="00B05E3B" w:rsidRPr="009F0133">
              <w:rPr>
                <w:rFonts w:ascii="Verdana" w:hAnsi="Verdana" w:cs="Times New Roman"/>
                <w:b/>
                <w:sz w:val="18"/>
                <w:szCs w:val="18"/>
              </w:rPr>
              <w:t xml:space="preserve"> (dažādošana)</w:t>
            </w:r>
          </w:p>
          <w:p w14:paraId="1BAF05D5" w14:textId="736B1B29" w:rsidR="000B462D" w:rsidRPr="009F0133" w:rsidRDefault="00332DB3" w:rsidP="004C254C">
            <w:pPr>
              <w:widowControl w:val="0"/>
              <w:rPr>
                <w:rFonts w:ascii="Verdana" w:hAnsi="Verdana" w:cs="Times New Roman"/>
                <w:b/>
                <w:sz w:val="18"/>
                <w:szCs w:val="18"/>
              </w:rPr>
            </w:pPr>
            <w:r w:rsidRPr="009F0133">
              <w:rPr>
                <w:rFonts w:ascii="Verdana" w:hAnsi="Verdana"/>
                <w:i/>
                <w:sz w:val="18"/>
                <w:szCs w:val="18"/>
                <w:lang w:val="en-GB"/>
              </w:rPr>
              <w:t>D</w:t>
            </w:r>
            <w:r w:rsidR="001D4089" w:rsidRPr="009F0133">
              <w:rPr>
                <w:rFonts w:ascii="Verdana" w:hAnsi="Verdana"/>
                <w:i/>
                <w:sz w:val="18"/>
                <w:szCs w:val="18"/>
                <w:lang w:val="en-GB"/>
              </w:rPr>
              <w:t>iversification</w:t>
            </w:r>
          </w:p>
        </w:tc>
        <w:tc>
          <w:tcPr>
            <w:tcW w:w="6732" w:type="dxa"/>
          </w:tcPr>
          <w:p w14:paraId="247F74BA" w14:textId="2F3BB0A4" w:rsidR="000B462D" w:rsidRPr="009F0133" w:rsidRDefault="004D1B94" w:rsidP="000E0596">
            <w:pPr>
              <w:widowControl w:val="0"/>
              <w:spacing w:before="240"/>
              <w:rPr>
                <w:rFonts w:ascii="Verdana" w:hAnsi="Verdana" w:cs="Times New Roman"/>
                <w:sz w:val="18"/>
                <w:szCs w:val="18"/>
              </w:rPr>
            </w:pPr>
            <w:r w:rsidRPr="009F0133">
              <w:rPr>
                <w:rFonts w:ascii="Verdana" w:hAnsi="Verdana" w:cs="Times New Roman"/>
                <w:sz w:val="18"/>
                <w:szCs w:val="18"/>
              </w:rPr>
              <w:t>Ražošanas vai eksporta diversifikācijas stratēģija ir vērsta uz konjunktūras svārstību risku mazināšanu un konkurētspējas stiprināšanu</w:t>
            </w:r>
            <w:r w:rsidR="004758EF" w:rsidRPr="009F0133">
              <w:rPr>
                <w:rFonts w:ascii="Verdana" w:hAnsi="Verdana" w:cs="Times New Roman"/>
                <w:sz w:val="18"/>
                <w:szCs w:val="18"/>
              </w:rPr>
              <w:t>.</w:t>
            </w:r>
          </w:p>
        </w:tc>
      </w:tr>
      <w:tr w:rsidR="000B462D" w:rsidRPr="009F0133" w14:paraId="52166C7A" w14:textId="77777777" w:rsidTr="006A2DB8">
        <w:trPr>
          <w:trHeight w:val="981"/>
        </w:trPr>
        <w:tc>
          <w:tcPr>
            <w:tcW w:w="2268" w:type="dxa"/>
          </w:tcPr>
          <w:p w14:paraId="4EBDF1B7" w14:textId="73688B4A" w:rsidR="000B462D" w:rsidRPr="009F0133" w:rsidRDefault="00884A92" w:rsidP="00B30791">
            <w:pPr>
              <w:widowControl w:val="0"/>
              <w:spacing w:before="240"/>
              <w:rPr>
                <w:rFonts w:ascii="Verdana" w:hAnsi="Verdana" w:cs="Times New Roman"/>
                <w:b/>
                <w:sz w:val="18"/>
                <w:szCs w:val="18"/>
              </w:rPr>
            </w:pPr>
            <w:r w:rsidRPr="009F0133">
              <w:rPr>
                <w:rFonts w:ascii="Verdana" w:hAnsi="Verdana" w:cs="Times New Roman"/>
                <w:b/>
                <w:sz w:val="18"/>
                <w:szCs w:val="18"/>
              </w:rPr>
              <w:t xml:space="preserve">Specializācija </w:t>
            </w:r>
            <w:r w:rsidR="00B05E3B" w:rsidRPr="009F0133">
              <w:rPr>
                <w:rFonts w:ascii="Verdana" w:hAnsi="Verdana"/>
                <w:i/>
                <w:sz w:val="18"/>
                <w:szCs w:val="18"/>
                <w:lang w:val="en-GB"/>
              </w:rPr>
              <w:t>S</w:t>
            </w:r>
            <w:r w:rsidRPr="009F0133">
              <w:rPr>
                <w:rFonts w:ascii="Verdana" w:hAnsi="Verdana"/>
                <w:i/>
                <w:sz w:val="18"/>
                <w:szCs w:val="18"/>
                <w:lang w:val="en-GB"/>
              </w:rPr>
              <w:t>pecialization</w:t>
            </w:r>
          </w:p>
        </w:tc>
        <w:tc>
          <w:tcPr>
            <w:tcW w:w="6732" w:type="dxa"/>
          </w:tcPr>
          <w:p w14:paraId="67EEE00E" w14:textId="274B2D4E" w:rsidR="000B462D" w:rsidRPr="009F0133" w:rsidRDefault="00B05E3B" w:rsidP="00992214">
            <w:pPr>
              <w:spacing w:before="240"/>
              <w:jc w:val="both"/>
              <w:rPr>
                <w:rFonts w:ascii="Verdana" w:hAnsi="Verdana" w:cs="Times New Roman"/>
                <w:sz w:val="18"/>
                <w:szCs w:val="18"/>
              </w:rPr>
            </w:pPr>
            <w:r w:rsidRPr="009F0133">
              <w:rPr>
                <w:rFonts w:ascii="Verdana" w:hAnsi="Verdana" w:cs="Times New Roman"/>
                <w:sz w:val="18"/>
                <w:szCs w:val="18"/>
              </w:rPr>
              <w:t>R</w:t>
            </w:r>
            <w:r w:rsidR="00043D56" w:rsidRPr="009F0133">
              <w:rPr>
                <w:rFonts w:ascii="Verdana" w:hAnsi="Verdana" w:cs="Times New Roman"/>
                <w:sz w:val="18"/>
                <w:szCs w:val="18"/>
              </w:rPr>
              <w:t>esursu koncentrēšana atsevišķu produktu ražošanā nozarēs, atsevišķos uzņēmumos, t.i.</w:t>
            </w:r>
            <w:r w:rsidRPr="009F0133">
              <w:rPr>
                <w:rFonts w:ascii="Verdana" w:hAnsi="Verdana" w:cs="Times New Roman"/>
                <w:sz w:val="18"/>
                <w:szCs w:val="18"/>
              </w:rPr>
              <w:t>,</w:t>
            </w:r>
            <w:r w:rsidR="00043D56" w:rsidRPr="009F0133">
              <w:rPr>
                <w:rFonts w:ascii="Verdana" w:hAnsi="Verdana" w:cs="Times New Roman"/>
                <w:sz w:val="18"/>
                <w:szCs w:val="18"/>
              </w:rPr>
              <w:t xml:space="preserve"> tas ir viendabīgu produktu vai atsevišķu tehnoloģisku darbību veikšanas process.</w:t>
            </w:r>
          </w:p>
        </w:tc>
      </w:tr>
      <w:tr w:rsidR="000B462D" w:rsidRPr="009F0133" w14:paraId="3B63D75F" w14:textId="77777777" w:rsidTr="006A2DB8">
        <w:trPr>
          <w:trHeight w:val="1250"/>
        </w:trPr>
        <w:tc>
          <w:tcPr>
            <w:tcW w:w="2268" w:type="dxa"/>
          </w:tcPr>
          <w:p w14:paraId="4D1521E0" w14:textId="77777777" w:rsidR="000B462D" w:rsidRPr="009F0133" w:rsidRDefault="00BE43E3" w:rsidP="000E0596">
            <w:pPr>
              <w:widowControl w:val="0"/>
              <w:spacing w:before="240"/>
              <w:rPr>
                <w:rFonts w:ascii="Verdana" w:hAnsi="Verdana" w:cs="Times New Roman"/>
                <w:b/>
                <w:sz w:val="18"/>
                <w:szCs w:val="18"/>
              </w:rPr>
            </w:pPr>
            <w:r w:rsidRPr="009F0133">
              <w:rPr>
                <w:rFonts w:ascii="Verdana" w:hAnsi="Verdana" w:cs="Times New Roman"/>
                <w:b/>
                <w:sz w:val="18"/>
                <w:szCs w:val="18"/>
              </w:rPr>
              <w:lastRenderedPageBreak/>
              <w:t>Konkurētspēja</w:t>
            </w:r>
          </w:p>
          <w:p w14:paraId="414C53AB" w14:textId="0C2401FE" w:rsidR="004758EF" w:rsidRPr="009F0133" w:rsidRDefault="004758EF" w:rsidP="000E0596">
            <w:pPr>
              <w:widowControl w:val="0"/>
              <w:spacing w:before="240"/>
              <w:rPr>
                <w:rFonts w:ascii="Verdana" w:hAnsi="Verdana" w:cs="Times New Roman"/>
                <w:b/>
                <w:sz w:val="18"/>
                <w:szCs w:val="18"/>
                <w:lang w:val="en-GB"/>
              </w:rPr>
            </w:pPr>
            <w:r w:rsidRPr="009F0133">
              <w:rPr>
                <w:rFonts w:ascii="Verdana" w:hAnsi="Verdana"/>
                <w:i/>
                <w:sz w:val="18"/>
                <w:szCs w:val="18"/>
                <w:lang w:val="en-GB"/>
              </w:rPr>
              <w:t xml:space="preserve">Competitiveness </w:t>
            </w:r>
          </w:p>
        </w:tc>
        <w:tc>
          <w:tcPr>
            <w:tcW w:w="6732" w:type="dxa"/>
          </w:tcPr>
          <w:p w14:paraId="2832AEAC" w14:textId="7EA230EB" w:rsidR="000B462D" w:rsidRPr="009F0133" w:rsidRDefault="004758EF" w:rsidP="000E0596">
            <w:pPr>
              <w:widowControl w:val="0"/>
              <w:spacing w:before="240"/>
              <w:rPr>
                <w:rFonts w:ascii="Verdana" w:hAnsi="Verdana" w:cs="Times New Roman"/>
                <w:sz w:val="18"/>
                <w:szCs w:val="18"/>
              </w:rPr>
            </w:pPr>
            <w:r w:rsidRPr="009F0133">
              <w:rPr>
                <w:rFonts w:ascii="Verdana" w:hAnsi="Verdana" w:cs="Times New Roman"/>
                <w:sz w:val="18"/>
                <w:szCs w:val="18"/>
              </w:rPr>
              <w:t>S</w:t>
            </w:r>
            <w:r w:rsidR="00951464" w:rsidRPr="009F0133">
              <w:rPr>
                <w:rFonts w:ascii="Verdana" w:hAnsi="Verdana" w:cs="Times New Roman"/>
                <w:sz w:val="18"/>
                <w:szCs w:val="18"/>
              </w:rPr>
              <w:t>pēja radīt un vairot valsts bagātību un iedzīvotāju labklājību. Konkurētspēja ir uzņēmēju spēja mobilizēt un efektīvi izmantot produktīvos resursus, kas vajadzīgi, lai veiksmīgi piedāvātu savas preces un pakalpojumus pasaules ekonomiskajā vidē, radīt vērtīgas darbavietas, pārvaldīt un pielāgoties pārmaiņām, balstoties uz inovācijām</w:t>
            </w:r>
            <w:r w:rsidRPr="009F0133">
              <w:rPr>
                <w:rFonts w:ascii="Verdana" w:hAnsi="Verdana" w:cs="Times New Roman"/>
                <w:sz w:val="18"/>
                <w:szCs w:val="18"/>
              </w:rPr>
              <w:t>.</w:t>
            </w:r>
          </w:p>
        </w:tc>
      </w:tr>
      <w:tr w:rsidR="000B462D" w:rsidRPr="009F0133" w14:paraId="3726A610" w14:textId="77777777" w:rsidTr="006A2DB8">
        <w:trPr>
          <w:trHeight w:val="1124"/>
        </w:trPr>
        <w:tc>
          <w:tcPr>
            <w:tcW w:w="2268" w:type="dxa"/>
          </w:tcPr>
          <w:p w14:paraId="64DB5BC0" w14:textId="77777777" w:rsidR="000B462D" w:rsidRPr="009F0133" w:rsidRDefault="00E90100" w:rsidP="000E0596">
            <w:pPr>
              <w:widowControl w:val="0"/>
              <w:spacing w:before="240"/>
              <w:rPr>
                <w:rFonts w:ascii="Verdana" w:hAnsi="Verdana" w:cs="Times New Roman"/>
                <w:b/>
                <w:sz w:val="18"/>
                <w:szCs w:val="18"/>
              </w:rPr>
            </w:pPr>
            <w:r w:rsidRPr="009F0133">
              <w:rPr>
                <w:rFonts w:ascii="Verdana" w:hAnsi="Verdana" w:cs="Times New Roman"/>
                <w:b/>
                <w:sz w:val="18"/>
                <w:szCs w:val="18"/>
              </w:rPr>
              <w:t>Produktivitāte</w:t>
            </w:r>
          </w:p>
          <w:p w14:paraId="004A3E05" w14:textId="3702E019" w:rsidR="004758EF" w:rsidRPr="009F0133" w:rsidRDefault="004758EF" w:rsidP="000E0596">
            <w:pPr>
              <w:widowControl w:val="0"/>
              <w:spacing w:before="240"/>
              <w:rPr>
                <w:rFonts w:ascii="Verdana" w:hAnsi="Verdana" w:cs="Times New Roman"/>
                <w:b/>
                <w:sz w:val="18"/>
                <w:szCs w:val="18"/>
                <w:lang w:val="en-US"/>
              </w:rPr>
            </w:pPr>
            <w:r w:rsidRPr="009F0133">
              <w:rPr>
                <w:rFonts w:ascii="Verdana" w:hAnsi="Verdana"/>
                <w:i/>
                <w:sz w:val="18"/>
                <w:szCs w:val="18"/>
                <w:lang w:val="en-US"/>
              </w:rPr>
              <w:t>Productivity</w:t>
            </w:r>
          </w:p>
        </w:tc>
        <w:tc>
          <w:tcPr>
            <w:tcW w:w="6732" w:type="dxa"/>
          </w:tcPr>
          <w:p w14:paraId="3B39E583" w14:textId="6E7D4201" w:rsidR="000B462D" w:rsidRPr="009F0133" w:rsidRDefault="004758EF" w:rsidP="000E0596">
            <w:pPr>
              <w:widowControl w:val="0"/>
              <w:spacing w:before="240"/>
              <w:rPr>
                <w:rFonts w:ascii="Verdana" w:hAnsi="Verdana" w:cs="Times New Roman"/>
                <w:sz w:val="18"/>
                <w:szCs w:val="18"/>
              </w:rPr>
            </w:pPr>
            <w:r w:rsidRPr="009F0133">
              <w:rPr>
                <w:rFonts w:ascii="Verdana" w:hAnsi="Verdana" w:cs="Times New Roman"/>
                <w:sz w:val="18"/>
                <w:szCs w:val="18"/>
              </w:rPr>
              <w:t>A</w:t>
            </w:r>
            <w:r w:rsidR="0006294D" w:rsidRPr="009F0133">
              <w:rPr>
                <w:rFonts w:ascii="Verdana" w:hAnsi="Verdana" w:cs="Times New Roman"/>
                <w:sz w:val="18"/>
                <w:szCs w:val="18"/>
              </w:rPr>
              <w:t>ttiecība starp saražotās produkcijas daudzumu (izlaidi) un ražošanas procesā izmantoto resursu (ražošanas faktoru) daudzumu. Produktivitāte mēra</w:t>
            </w:r>
            <w:r w:rsidRPr="009F0133">
              <w:rPr>
                <w:rFonts w:ascii="Verdana" w:hAnsi="Verdana" w:cs="Times New Roman"/>
                <w:sz w:val="18"/>
                <w:szCs w:val="18"/>
              </w:rPr>
              <w:t>,</w:t>
            </w:r>
            <w:r w:rsidR="0006294D" w:rsidRPr="009F0133">
              <w:rPr>
                <w:rFonts w:ascii="Verdana" w:hAnsi="Verdana" w:cs="Times New Roman"/>
                <w:sz w:val="18"/>
                <w:szCs w:val="18"/>
              </w:rPr>
              <w:t xml:space="preserve"> cik efektīvi tiek izmantoti resursi (darbs, kapitāls u.c.), ražojot noteiktu produkcijas daudzumu (uzņēmumā, nozarē vai tautsaimniecībā kopumā).  </w:t>
            </w:r>
          </w:p>
        </w:tc>
      </w:tr>
      <w:tr w:rsidR="000B462D" w:rsidRPr="009F0133" w14:paraId="623BAEA3" w14:textId="77777777" w:rsidTr="006A2DB8">
        <w:trPr>
          <w:trHeight w:val="1149"/>
        </w:trPr>
        <w:tc>
          <w:tcPr>
            <w:tcW w:w="2268" w:type="dxa"/>
          </w:tcPr>
          <w:p w14:paraId="68584C1D" w14:textId="77777777" w:rsidR="000B462D" w:rsidRPr="009F0133" w:rsidRDefault="00C671E2" w:rsidP="000E0596">
            <w:pPr>
              <w:widowControl w:val="0"/>
              <w:spacing w:before="240"/>
              <w:rPr>
                <w:rFonts w:ascii="Verdana" w:hAnsi="Verdana" w:cs="Times New Roman"/>
                <w:b/>
                <w:sz w:val="18"/>
                <w:szCs w:val="18"/>
              </w:rPr>
            </w:pPr>
            <w:r w:rsidRPr="009F0133">
              <w:rPr>
                <w:rFonts w:ascii="Verdana" w:hAnsi="Verdana" w:cs="Times New Roman"/>
                <w:b/>
                <w:sz w:val="18"/>
                <w:szCs w:val="18"/>
              </w:rPr>
              <w:t>Transformācija</w:t>
            </w:r>
          </w:p>
          <w:p w14:paraId="03C75386" w14:textId="10ACAE81" w:rsidR="00BC5A3C" w:rsidRPr="009F0133" w:rsidRDefault="00BC5A3C" w:rsidP="000E0596">
            <w:pPr>
              <w:widowControl w:val="0"/>
              <w:spacing w:before="240"/>
              <w:rPr>
                <w:rFonts w:ascii="Verdana" w:hAnsi="Verdana" w:cs="Times New Roman"/>
                <w:b/>
                <w:sz w:val="18"/>
                <w:szCs w:val="18"/>
              </w:rPr>
            </w:pPr>
            <w:r w:rsidRPr="009F0133">
              <w:rPr>
                <w:rFonts w:ascii="Verdana" w:hAnsi="Verdana"/>
                <w:i/>
                <w:sz w:val="18"/>
                <w:szCs w:val="18"/>
                <w:lang w:val="en-US"/>
              </w:rPr>
              <w:t>Transformation</w:t>
            </w:r>
          </w:p>
        </w:tc>
        <w:tc>
          <w:tcPr>
            <w:tcW w:w="6732" w:type="dxa"/>
          </w:tcPr>
          <w:p w14:paraId="10DBFB12" w14:textId="1E3C32AA" w:rsidR="000B462D" w:rsidRPr="009F0133" w:rsidRDefault="00BC5A3C" w:rsidP="000E0596">
            <w:pPr>
              <w:widowControl w:val="0"/>
              <w:spacing w:before="240"/>
              <w:rPr>
                <w:rFonts w:ascii="Verdana" w:hAnsi="Verdana" w:cs="Times New Roman"/>
                <w:sz w:val="18"/>
                <w:szCs w:val="18"/>
              </w:rPr>
            </w:pPr>
            <w:r w:rsidRPr="009F0133">
              <w:rPr>
                <w:rFonts w:ascii="Verdana" w:hAnsi="Verdana" w:cs="Times New Roman"/>
                <w:sz w:val="18"/>
                <w:szCs w:val="18"/>
              </w:rPr>
              <w:t>P</w:t>
            </w:r>
            <w:r w:rsidR="00BE1CFB" w:rsidRPr="009F0133">
              <w:rPr>
                <w:rFonts w:ascii="Verdana" w:hAnsi="Verdana" w:cs="Times New Roman"/>
                <w:sz w:val="18"/>
                <w:szCs w:val="18"/>
              </w:rPr>
              <w:t>rocess, ko dažkārt dēvē par "kāpšanu augšup pa tehnoloģijas kāpnēm". Latvijas gadījumā pakāpeniski jāatsakās no konkurences priekšrocībām, kuru pamatā ir zemākas izmaksas, un jāpāriet uz konkurences priekšrocībām, ko nodrošina sarežģītāku preču ražošana ar augstāku pievienoto vērtību.</w:t>
            </w:r>
          </w:p>
        </w:tc>
      </w:tr>
      <w:tr w:rsidR="00136C96" w:rsidRPr="009F0133" w14:paraId="7A562307" w14:textId="77777777" w:rsidTr="006A2DB8">
        <w:trPr>
          <w:trHeight w:val="1149"/>
        </w:trPr>
        <w:tc>
          <w:tcPr>
            <w:tcW w:w="2268" w:type="dxa"/>
          </w:tcPr>
          <w:p w14:paraId="34A3E436" w14:textId="77777777" w:rsidR="00136C96" w:rsidRDefault="00136C96" w:rsidP="000E0596">
            <w:pPr>
              <w:widowControl w:val="0"/>
              <w:spacing w:before="240"/>
              <w:rPr>
                <w:rFonts w:ascii="Verdana" w:hAnsi="Verdana" w:cs="Times New Roman"/>
                <w:b/>
                <w:sz w:val="18"/>
                <w:szCs w:val="18"/>
              </w:rPr>
            </w:pPr>
            <w:proofErr w:type="spellStart"/>
            <w:r>
              <w:rPr>
                <w:rFonts w:ascii="Verdana" w:hAnsi="Verdana" w:cs="Times New Roman"/>
                <w:b/>
                <w:sz w:val="18"/>
                <w:szCs w:val="18"/>
              </w:rPr>
              <w:t>Hibrīdstratēģija</w:t>
            </w:r>
            <w:proofErr w:type="spellEnd"/>
          </w:p>
          <w:p w14:paraId="181F8B63" w14:textId="073ED216" w:rsidR="00296C20" w:rsidRPr="009F0133" w:rsidRDefault="00296C20" w:rsidP="000E0596">
            <w:pPr>
              <w:widowControl w:val="0"/>
              <w:spacing w:before="240"/>
              <w:rPr>
                <w:rFonts w:ascii="Verdana" w:hAnsi="Verdana" w:cs="Times New Roman"/>
                <w:b/>
                <w:sz w:val="18"/>
                <w:szCs w:val="18"/>
              </w:rPr>
            </w:pPr>
            <w:r>
              <w:rPr>
                <w:rFonts w:ascii="Verdana" w:hAnsi="Verdana"/>
                <w:i/>
                <w:sz w:val="18"/>
                <w:szCs w:val="18"/>
                <w:lang w:val="en-US"/>
              </w:rPr>
              <w:t>Hyb</w:t>
            </w:r>
            <w:r w:rsidR="001203EB">
              <w:rPr>
                <w:rFonts w:ascii="Verdana" w:hAnsi="Verdana"/>
                <w:i/>
                <w:sz w:val="18"/>
                <w:szCs w:val="18"/>
                <w:lang w:val="en-US"/>
              </w:rPr>
              <w:t>rid strategy</w:t>
            </w:r>
          </w:p>
        </w:tc>
        <w:tc>
          <w:tcPr>
            <w:tcW w:w="6732" w:type="dxa"/>
          </w:tcPr>
          <w:p w14:paraId="611AEBBC" w14:textId="5F77BA06" w:rsidR="00863B53" w:rsidRPr="002273A0" w:rsidRDefault="00CB1AC6" w:rsidP="000E0596">
            <w:pPr>
              <w:widowControl w:val="0"/>
              <w:spacing w:before="240"/>
              <w:rPr>
                <w:rFonts w:ascii="Verdana" w:hAnsi="Verdana" w:cs="Times New Roman"/>
                <w:sz w:val="18"/>
                <w:szCs w:val="18"/>
              </w:rPr>
            </w:pPr>
            <w:proofErr w:type="spellStart"/>
            <w:r w:rsidRPr="002273A0">
              <w:rPr>
                <w:rFonts w:ascii="Verdana" w:hAnsi="Verdana" w:cs="Times New Roman"/>
                <w:sz w:val="18"/>
                <w:szCs w:val="18"/>
              </w:rPr>
              <w:t>Hibrīdstratēģijas</w:t>
            </w:r>
            <w:proofErr w:type="spellEnd"/>
            <w:r w:rsidRPr="002273A0">
              <w:rPr>
                <w:rFonts w:ascii="Verdana" w:hAnsi="Verdana" w:cs="Times New Roman"/>
                <w:sz w:val="18"/>
                <w:szCs w:val="18"/>
              </w:rPr>
              <w:t xml:space="preserve"> pieli</w:t>
            </w:r>
            <w:r w:rsidR="00863B53" w:rsidRPr="002273A0">
              <w:rPr>
                <w:rFonts w:ascii="Verdana" w:hAnsi="Verdana" w:cs="Times New Roman"/>
                <w:sz w:val="18"/>
                <w:szCs w:val="18"/>
              </w:rPr>
              <w:t>e</w:t>
            </w:r>
            <w:r w:rsidRPr="002273A0">
              <w:rPr>
                <w:rFonts w:ascii="Verdana" w:hAnsi="Verdana" w:cs="Times New Roman"/>
                <w:sz w:val="18"/>
                <w:szCs w:val="18"/>
              </w:rPr>
              <w:t>to, lai sasai</w:t>
            </w:r>
            <w:r w:rsidR="002273A0">
              <w:rPr>
                <w:rFonts w:ascii="Verdana" w:hAnsi="Verdana" w:cs="Times New Roman"/>
                <w:sz w:val="18"/>
                <w:szCs w:val="18"/>
              </w:rPr>
              <w:t>s</w:t>
            </w:r>
            <w:r w:rsidRPr="002273A0">
              <w:rPr>
                <w:rFonts w:ascii="Verdana" w:hAnsi="Verdana" w:cs="Times New Roman"/>
                <w:sz w:val="18"/>
                <w:szCs w:val="18"/>
              </w:rPr>
              <w:t>tītu zemu izmaksu ražošanu ar diferenci</w:t>
            </w:r>
            <w:r w:rsidR="00863B53" w:rsidRPr="002273A0">
              <w:rPr>
                <w:rFonts w:ascii="Verdana" w:hAnsi="Verdana" w:cs="Times New Roman"/>
                <w:sz w:val="18"/>
                <w:szCs w:val="18"/>
              </w:rPr>
              <w:t xml:space="preserve">āciju. Piemēri: 1) </w:t>
            </w:r>
            <w:r w:rsidR="00863B53" w:rsidRPr="002273A0">
              <w:rPr>
                <w:rFonts w:ascii="Verdana" w:hAnsi="Verdana" w:cs="Times New Roman"/>
                <w:sz w:val="18"/>
                <w:szCs w:val="18"/>
              </w:rPr>
              <w:t>Procesa inovācija un vērtības analīze</w:t>
            </w:r>
            <w:r w:rsidR="00863B53" w:rsidRPr="002273A0">
              <w:rPr>
                <w:rFonts w:ascii="Verdana" w:hAnsi="Verdana" w:cs="Times New Roman"/>
                <w:sz w:val="18"/>
                <w:szCs w:val="18"/>
              </w:rPr>
              <w:t xml:space="preserve">; 2) </w:t>
            </w:r>
            <w:r w:rsidR="00863B53" w:rsidRPr="002273A0">
              <w:rPr>
                <w:rFonts w:ascii="Verdana" w:hAnsi="Verdana" w:cs="Times New Roman"/>
                <w:sz w:val="18"/>
                <w:szCs w:val="18"/>
              </w:rPr>
              <w:t>Zemu izmaksu diferenciācija (piem., automašīnu ražošanā, apdrošināšanā)</w:t>
            </w:r>
            <w:r w:rsidR="00863B53" w:rsidRPr="002273A0">
              <w:rPr>
                <w:rFonts w:ascii="Verdana" w:hAnsi="Verdana" w:cs="Times New Roman"/>
                <w:sz w:val="18"/>
                <w:szCs w:val="18"/>
              </w:rPr>
              <w:t xml:space="preserve">; 3) </w:t>
            </w:r>
            <w:r w:rsidR="00DF3ED6" w:rsidRPr="002273A0">
              <w:rPr>
                <w:rFonts w:ascii="Verdana" w:hAnsi="Verdana" w:cs="Times New Roman"/>
                <w:sz w:val="18"/>
                <w:szCs w:val="18"/>
              </w:rPr>
              <w:t>Cenu diskriminācija</w:t>
            </w:r>
            <w:r w:rsidR="00DF3ED6" w:rsidRPr="002273A0">
              <w:rPr>
                <w:rFonts w:ascii="Verdana" w:hAnsi="Verdana" w:cs="Times New Roman"/>
                <w:sz w:val="18"/>
                <w:szCs w:val="18"/>
              </w:rPr>
              <w:t xml:space="preserve">, pielietojot </w:t>
            </w:r>
            <w:r w:rsidR="00DF3ED6" w:rsidRPr="002273A0">
              <w:rPr>
                <w:rFonts w:ascii="Verdana" w:hAnsi="Verdana" w:cs="Times New Roman"/>
                <w:sz w:val="18"/>
                <w:szCs w:val="18"/>
              </w:rPr>
              <w:t>produktu modifikācijas</w:t>
            </w:r>
            <w:r w:rsidR="00DF3ED6" w:rsidRPr="002273A0">
              <w:rPr>
                <w:rFonts w:ascii="Verdana" w:hAnsi="Verdana" w:cs="Times New Roman"/>
                <w:sz w:val="18"/>
                <w:szCs w:val="18"/>
              </w:rPr>
              <w:t>.</w:t>
            </w:r>
          </w:p>
          <w:p w14:paraId="0D330BBE" w14:textId="213AA00E" w:rsidR="00136C96" w:rsidRPr="002273A0" w:rsidRDefault="00296C20" w:rsidP="000E0596">
            <w:pPr>
              <w:widowControl w:val="0"/>
              <w:spacing w:before="240"/>
              <w:rPr>
                <w:rFonts w:ascii="Verdana" w:hAnsi="Verdana" w:cs="Times New Roman"/>
                <w:i/>
                <w:sz w:val="20"/>
                <w:szCs w:val="20"/>
              </w:rPr>
            </w:pPr>
            <w:r w:rsidRPr="002273A0">
              <w:rPr>
                <w:rFonts w:ascii="Verdana" w:hAnsi="Verdana" w:cs="Times New Roman"/>
                <w:i/>
                <w:sz w:val="18"/>
                <w:szCs w:val="18"/>
              </w:rPr>
              <w:t>Hybrid strategies as strategies which enable to associate low cost production and differentiation.</w:t>
            </w:r>
            <w:r w:rsidR="001203EB" w:rsidRPr="002273A0">
              <w:rPr>
                <w:rFonts w:ascii="Verdana" w:hAnsi="Verdana" w:cs="Times New Roman"/>
                <w:i/>
                <w:sz w:val="18"/>
                <w:szCs w:val="18"/>
              </w:rPr>
              <w:t xml:space="preserve"> </w:t>
            </w:r>
            <w:r w:rsidR="00A736B4" w:rsidRPr="002273A0">
              <w:rPr>
                <w:rFonts w:ascii="Verdana" w:hAnsi="Verdana" w:cs="Times New Roman"/>
                <w:i/>
                <w:sz w:val="18"/>
                <w:szCs w:val="18"/>
              </w:rPr>
              <w:t>Situations when hybrid strategies are applied</w:t>
            </w:r>
            <w:r w:rsidR="00D437AC" w:rsidRPr="002273A0">
              <w:rPr>
                <w:rFonts w:ascii="Verdana" w:hAnsi="Verdana" w:cs="Times New Roman"/>
                <w:i/>
                <w:sz w:val="18"/>
                <w:szCs w:val="18"/>
              </w:rPr>
              <w:t>: 1) Process innovation and value analysis</w:t>
            </w:r>
            <w:r w:rsidR="005F3CC3" w:rsidRPr="002273A0">
              <w:rPr>
                <w:rFonts w:ascii="Verdana" w:hAnsi="Verdana" w:cs="Times New Roman"/>
                <w:i/>
                <w:sz w:val="18"/>
                <w:szCs w:val="18"/>
              </w:rPr>
              <w:t xml:space="preserve"> </w:t>
            </w:r>
            <w:proofErr w:type="gramStart"/>
            <w:r w:rsidR="005F3CC3" w:rsidRPr="002273A0">
              <w:rPr>
                <w:rFonts w:ascii="Verdana" w:hAnsi="Verdana" w:cs="Times New Roman"/>
                <w:i/>
                <w:sz w:val="18"/>
                <w:szCs w:val="18"/>
              </w:rPr>
              <w:t>(</w:t>
            </w:r>
            <w:proofErr w:type="gramEnd"/>
            <w:r w:rsidR="005F3CC3" w:rsidRPr="002273A0">
              <w:rPr>
                <w:rFonts w:ascii="Verdana" w:hAnsi="Verdana" w:cs="Times New Roman"/>
                <w:i/>
                <w:sz w:val="18"/>
                <w:szCs w:val="18"/>
              </w:rPr>
              <w:t>in this case the low cost does not result only from mass production but mainly from innovation. It enables to be competitive even with a large range of products)</w:t>
            </w:r>
            <w:r w:rsidR="00D437AC" w:rsidRPr="002273A0">
              <w:rPr>
                <w:rFonts w:ascii="Verdana" w:hAnsi="Verdana" w:cs="Times New Roman"/>
                <w:i/>
                <w:sz w:val="18"/>
                <w:szCs w:val="18"/>
              </w:rPr>
              <w:t xml:space="preserve">; </w:t>
            </w:r>
            <w:r w:rsidR="0067262E" w:rsidRPr="002273A0">
              <w:rPr>
                <w:rFonts w:ascii="Verdana" w:hAnsi="Verdana" w:cs="Times New Roman"/>
                <w:i/>
                <w:sz w:val="18"/>
                <w:szCs w:val="18"/>
              </w:rPr>
              <w:t>2) Low cost differentiation</w:t>
            </w:r>
            <w:r w:rsidR="00AE422A" w:rsidRPr="002273A0">
              <w:rPr>
                <w:rFonts w:ascii="Verdana" w:hAnsi="Verdana" w:cs="Times New Roman"/>
                <w:i/>
                <w:sz w:val="18"/>
                <w:szCs w:val="18"/>
              </w:rPr>
              <w:t xml:space="preserve"> (cases when it is possible to maintain high economies of scale and differentiation, e.g., in automobile industry, </w:t>
            </w:r>
            <w:r w:rsidR="00554246" w:rsidRPr="002273A0">
              <w:rPr>
                <w:rFonts w:ascii="Verdana" w:hAnsi="Verdana" w:cs="Times New Roman"/>
                <w:i/>
                <w:sz w:val="18"/>
                <w:szCs w:val="18"/>
              </w:rPr>
              <w:t>insurance with added services personalized by various target groups</w:t>
            </w:r>
            <w:r w:rsidR="00AE422A" w:rsidRPr="002273A0">
              <w:rPr>
                <w:rFonts w:ascii="Verdana" w:hAnsi="Verdana" w:cs="Times New Roman"/>
                <w:i/>
                <w:sz w:val="18"/>
                <w:szCs w:val="18"/>
              </w:rPr>
              <w:t>)</w:t>
            </w:r>
            <w:r w:rsidR="0067262E" w:rsidRPr="002273A0">
              <w:rPr>
                <w:rFonts w:ascii="Verdana" w:hAnsi="Verdana" w:cs="Times New Roman"/>
                <w:i/>
                <w:sz w:val="18"/>
                <w:szCs w:val="18"/>
              </w:rPr>
              <w:t xml:space="preserve"> </w:t>
            </w:r>
            <w:r w:rsidR="0043402F" w:rsidRPr="002273A0">
              <w:rPr>
                <w:rFonts w:ascii="Verdana" w:hAnsi="Verdana" w:cs="Times New Roman"/>
                <w:i/>
                <w:sz w:val="18"/>
                <w:szCs w:val="18"/>
              </w:rPr>
              <w:t>3) Price discrimination</w:t>
            </w:r>
            <w:r w:rsidR="007146AE" w:rsidRPr="002273A0">
              <w:rPr>
                <w:rFonts w:ascii="Verdana" w:hAnsi="Verdana" w:cs="Times New Roman"/>
                <w:i/>
                <w:sz w:val="18"/>
                <w:szCs w:val="18"/>
              </w:rPr>
              <w:t xml:space="preserve"> with changes in the product design, the brand name or the service offered enable to maximize revenue</w:t>
            </w:r>
          </w:p>
        </w:tc>
      </w:tr>
      <w:tr w:rsidR="004D0391" w:rsidRPr="009F0133" w14:paraId="5B62F358" w14:textId="77777777" w:rsidTr="00054675">
        <w:trPr>
          <w:trHeight w:val="901"/>
        </w:trPr>
        <w:tc>
          <w:tcPr>
            <w:tcW w:w="2268" w:type="dxa"/>
          </w:tcPr>
          <w:p w14:paraId="4AE99B85" w14:textId="0FFB10B2" w:rsidR="004D0391" w:rsidRDefault="00E85BF8" w:rsidP="000E0596">
            <w:pPr>
              <w:widowControl w:val="0"/>
              <w:spacing w:before="240"/>
              <w:rPr>
                <w:rFonts w:ascii="Verdana" w:hAnsi="Verdana" w:cs="Times New Roman"/>
                <w:b/>
                <w:sz w:val="18"/>
                <w:szCs w:val="18"/>
              </w:rPr>
            </w:pPr>
            <w:r>
              <w:rPr>
                <w:rFonts w:ascii="Verdana" w:hAnsi="Verdana" w:cs="Times New Roman"/>
                <w:b/>
                <w:sz w:val="18"/>
                <w:szCs w:val="18"/>
              </w:rPr>
              <w:t>Produkta</w:t>
            </w:r>
            <w:r w:rsidR="00D30E89">
              <w:rPr>
                <w:rFonts w:ascii="Verdana" w:hAnsi="Verdana" w:cs="Times New Roman"/>
                <w:b/>
                <w:sz w:val="18"/>
                <w:szCs w:val="18"/>
              </w:rPr>
              <w:t xml:space="preserve"> telpa</w:t>
            </w:r>
          </w:p>
          <w:p w14:paraId="3C9F5075" w14:textId="624CCF8E" w:rsidR="000D2BF2" w:rsidRDefault="000D2BF2" w:rsidP="000E0596">
            <w:pPr>
              <w:widowControl w:val="0"/>
              <w:spacing w:before="240"/>
              <w:rPr>
                <w:rFonts w:ascii="Verdana" w:hAnsi="Verdana" w:cs="Times New Roman"/>
                <w:b/>
                <w:sz w:val="18"/>
                <w:szCs w:val="18"/>
              </w:rPr>
            </w:pPr>
            <w:r w:rsidRPr="000D2BF2">
              <w:rPr>
                <w:rFonts w:ascii="Verdana" w:hAnsi="Verdana"/>
                <w:i/>
                <w:sz w:val="18"/>
                <w:szCs w:val="18"/>
                <w:lang w:val="en-US"/>
              </w:rPr>
              <w:t>Product space</w:t>
            </w:r>
          </w:p>
        </w:tc>
        <w:tc>
          <w:tcPr>
            <w:tcW w:w="6732" w:type="dxa"/>
          </w:tcPr>
          <w:p w14:paraId="28645D2E" w14:textId="714A9535" w:rsidR="00D30E89" w:rsidRPr="002273A0" w:rsidRDefault="00D30E89" w:rsidP="000E0596">
            <w:pPr>
              <w:widowControl w:val="0"/>
              <w:spacing w:before="240"/>
              <w:rPr>
                <w:rFonts w:ascii="Verdana" w:hAnsi="Verdana" w:cs="Times New Roman"/>
                <w:i/>
                <w:sz w:val="18"/>
                <w:szCs w:val="18"/>
              </w:rPr>
            </w:pPr>
            <w:r w:rsidRPr="002273A0">
              <w:rPr>
                <w:rFonts w:ascii="Verdana" w:hAnsi="Verdana" w:cs="Times New Roman"/>
                <w:i/>
                <w:sz w:val="18"/>
                <w:szCs w:val="18"/>
              </w:rPr>
              <w:t xml:space="preserve">«Produktu telpa» - karte ar produktu savstarpējiem «attālumiem». Valstis attīstās maziem «lēcieniem» uz blakus produktiem. R. </w:t>
            </w:r>
            <w:proofErr w:type="spellStart"/>
            <w:r w:rsidRPr="002273A0">
              <w:rPr>
                <w:rFonts w:ascii="Verdana" w:hAnsi="Verdana" w:cs="Times New Roman"/>
                <w:i/>
                <w:sz w:val="18"/>
                <w:szCs w:val="18"/>
              </w:rPr>
              <w:t>Hausmana</w:t>
            </w:r>
            <w:proofErr w:type="spellEnd"/>
            <w:r w:rsidRPr="002273A0">
              <w:rPr>
                <w:rFonts w:ascii="Verdana" w:hAnsi="Verdana" w:cs="Times New Roman"/>
                <w:i/>
                <w:sz w:val="18"/>
                <w:szCs w:val="18"/>
              </w:rPr>
              <w:t xml:space="preserve"> skaidrojums:</w:t>
            </w:r>
            <w:r w:rsidR="002273A0">
              <w:rPr>
                <w:rFonts w:ascii="Verdana" w:hAnsi="Verdana" w:cs="Times New Roman"/>
                <w:i/>
                <w:sz w:val="18"/>
                <w:szCs w:val="18"/>
              </w:rPr>
              <w:t xml:space="preserve"> </w:t>
            </w:r>
            <w:hyperlink r:id="rId14" w:history="1">
              <w:r w:rsidR="002273A0" w:rsidRPr="00FA2E76">
                <w:rPr>
                  <w:rStyle w:val="Hyperlink"/>
                  <w:rFonts w:ascii="Verdana" w:hAnsi="Verdana" w:cs="Times New Roman"/>
                  <w:i/>
                  <w:sz w:val="18"/>
                  <w:szCs w:val="18"/>
                </w:rPr>
                <w:t>https://www.youtube.com/watch?v=HLK_xE2P_XI</w:t>
              </w:r>
            </w:hyperlink>
          </w:p>
          <w:p w14:paraId="46DE5B57" w14:textId="2DBC35B0" w:rsidR="004D0391" w:rsidRPr="002273A0" w:rsidRDefault="00441EBD" w:rsidP="000E0596">
            <w:pPr>
              <w:widowControl w:val="0"/>
              <w:spacing w:before="240"/>
              <w:rPr>
                <w:rFonts w:ascii="Verdana" w:hAnsi="Verdana" w:cs="Times New Roman"/>
                <w:i/>
                <w:sz w:val="18"/>
                <w:szCs w:val="18"/>
              </w:rPr>
            </w:pPr>
            <w:r w:rsidRPr="002273A0">
              <w:rPr>
                <w:rFonts w:ascii="Verdana" w:hAnsi="Verdana" w:cs="Times New Roman"/>
                <w:i/>
                <w:sz w:val="18"/>
                <w:szCs w:val="18"/>
              </w:rPr>
              <w:t>The Product Space is a network that formalizes the idea of relatedness between products traded in the global economy. The network first appeared in the July 2007 issue of </w:t>
            </w:r>
            <w:hyperlink r:id="rId15" w:tooltip="Science (journal)" w:history="1">
              <w:r w:rsidRPr="002273A0">
                <w:rPr>
                  <w:rFonts w:ascii="Verdana" w:hAnsi="Verdana" w:cs="Times New Roman"/>
                  <w:i/>
                  <w:sz w:val="18"/>
                  <w:szCs w:val="18"/>
                </w:rPr>
                <w:t>Science</w:t>
              </w:r>
            </w:hyperlink>
            <w:r w:rsidRPr="002273A0">
              <w:rPr>
                <w:rFonts w:ascii="Verdana" w:hAnsi="Verdana" w:cs="Times New Roman"/>
                <w:i/>
                <w:sz w:val="18"/>
                <w:szCs w:val="18"/>
              </w:rPr>
              <w:t> in the article "The Product Space Conditions the Development of Nations," written by </w:t>
            </w:r>
            <w:hyperlink r:id="rId16" w:tooltip="Cesar A. Hidalgo" w:history="1">
              <w:r w:rsidRPr="002273A0">
                <w:rPr>
                  <w:rFonts w:ascii="Verdana" w:hAnsi="Verdana" w:cs="Times New Roman"/>
                  <w:i/>
                  <w:sz w:val="18"/>
                  <w:szCs w:val="18"/>
                </w:rPr>
                <w:t>Cesar A. Hidalgo</w:t>
              </w:r>
            </w:hyperlink>
            <w:r w:rsidRPr="002273A0">
              <w:rPr>
                <w:rFonts w:ascii="Verdana" w:hAnsi="Verdana" w:cs="Times New Roman"/>
                <w:i/>
                <w:sz w:val="18"/>
                <w:szCs w:val="18"/>
              </w:rPr>
              <w:t>, Bailey Klinger, </w:t>
            </w:r>
            <w:hyperlink r:id="rId17" w:tooltip="Ricardo Hausmann" w:history="1">
              <w:r w:rsidRPr="002273A0">
                <w:rPr>
                  <w:rFonts w:ascii="Verdana" w:hAnsi="Verdana" w:cs="Times New Roman"/>
                  <w:i/>
                  <w:sz w:val="18"/>
                  <w:szCs w:val="18"/>
                </w:rPr>
                <w:t>Ricardo Hausmann</w:t>
              </w:r>
            </w:hyperlink>
            <w:r w:rsidRPr="002273A0">
              <w:rPr>
                <w:rFonts w:ascii="Verdana" w:hAnsi="Verdana" w:cs="Times New Roman"/>
                <w:i/>
                <w:sz w:val="18"/>
                <w:szCs w:val="18"/>
              </w:rPr>
              <w:t>, and </w:t>
            </w:r>
            <w:hyperlink r:id="rId18" w:tooltip="Albert-László Barabási" w:history="1">
              <w:r w:rsidRPr="002273A0">
                <w:rPr>
                  <w:rFonts w:ascii="Verdana" w:hAnsi="Verdana" w:cs="Times New Roman"/>
                  <w:i/>
                  <w:sz w:val="18"/>
                  <w:szCs w:val="18"/>
                </w:rPr>
                <w:t xml:space="preserve">Albert-László </w:t>
              </w:r>
              <w:proofErr w:type="spellStart"/>
              <w:r w:rsidRPr="002273A0">
                <w:rPr>
                  <w:rFonts w:ascii="Verdana" w:hAnsi="Verdana" w:cs="Times New Roman"/>
                  <w:i/>
                  <w:sz w:val="18"/>
                  <w:szCs w:val="18"/>
                </w:rPr>
                <w:t>Barabási</w:t>
              </w:r>
              <w:proofErr w:type="spellEnd"/>
            </w:hyperlink>
            <w:r w:rsidRPr="002273A0">
              <w:rPr>
                <w:rFonts w:ascii="Verdana" w:hAnsi="Verdana" w:cs="Times New Roman"/>
                <w:i/>
                <w:sz w:val="18"/>
                <w:szCs w:val="18"/>
              </w:rPr>
              <w:t>. The Product Space network has considerable implications for economic policy, as its structure helps elucidate why some countries undergo steady economic growth while others become stagnant and are unable to develop.</w:t>
            </w:r>
          </w:p>
        </w:tc>
      </w:tr>
      <w:tr w:rsidR="004B46F5" w:rsidRPr="009F0133" w14:paraId="01C1C7AC" w14:textId="77777777" w:rsidTr="006A2DB8">
        <w:trPr>
          <w:trHeight w:val="1149"/>
        </w:trPr>
        <w:tc>
          <w:tcPr>
            <w:tcW w:w="2268" w:type="dxa"/>
          </w:tcPr>
          <w:p w14:paraId="2B0FCCAB" w14:textId="7018E103" w:rsidR="004B46F5" w:rsidRDefault="00A442F2" w:rsidP="000E0596">
            <w:pPr>
              <w:widowControl w:val="0"/>
              <w:spacing w:before="240"/>
              <w:rPr>
                <w:rFonts w:ascii="Verdana" w:hAnsi="Verdana" w:cs="Times New Roman"/>
                <w:b/>
                <w:sz w:val="18"/>
                <w:szCs w:val="18"/>
              </w:rPr>
            </w:pPr>
            <w:r>
              <w:rPr>
                <w:rFonts w:ascii="Verdana" w:hAnsi="Verdana" w:cs="Times New Roman"/>
                <w:b/>
                <w:sz w:val="18"/>
                <w:szCs w:val="18"/>
              </w:rPr>
              <w:lastRenderedPageBreak/>
              <w:t>Globālās vērtību ķēdes</w:t>
            </w:r>
            <w:r w:rsidR="00F83F71">
              <w:rPr>
                <w:rFonts w:ascii="Verdana" w:hAnsi="Verdana" w:cs="Times New Roman"/>
                <w:b/>
                <w:sz w:val="18"/>
                <w:szCs w:val="18"/>
              </w:rPr>
              <w:t xml:space="preserve"> (GVĶ)</w:t>
            </w:r>
          </w:p>
          <w:p w14:paraId="62463AAD" w14:textId="55A85673" w:rsidR="00A442F2" w:rsidRDefault="00A442F2" w:rsidP="000E0596">
            <w:pPr>
              <w:widowControl w:val="0"/>
              <w:spacing w:before="240"/>
              <w:rPr>
                <w:rFonts w:ascii="Verdana" w:hAnsi="Verdana" w:cs="Times New Roman"/>
                <w:b/>
                <w:sz w:val="18"/>
                <w:szCs w:val="18"/>
              </w:rPr>
            </w:pPr>
            <w:r>
              <w:rPr>
                <w:rFonts w:ascii="Verdana" w:hAnsi="Verdana"/>
                <w:i/>
                <w:sz w:val="18"/>
                <w:szCs w:val="18"/>
                <w:lang w:val="en-US"/>
              </w:rPr>
              <w:t>Global value chains</w:t>
            </w:r>
            <w:r w:rsidR="00F83F71">
              <w:rPr>
                <w:rFonts w:ascii="Verdana" w:hAnsi="Verdana"/>
                <w:i/>
                <w:sz w:val="18"/>
                <w:szCs w:val="18"/>
                <w:lang w:val="en-US"/>
              </w:rPr>
              <w:t xml:space="preserve"> (GVC)</w:t>
            </w:r>
            <w:r>
              <w:rPr>
                <w:rFonts w:ascii="Verdana" w:hAnsi="Verdana"/>
                <w:i/>
                <w:sz w:val="18"/>
                <w:szCs w:val="18"/>
                <w:lang w:val="en-US"/>
              </w:rPr>
              <w:t xml:space="preserve"> </w:t>
            </w:r>
          </w:p>
        </w:tc>
        <w:tc>
          <w:tcPr>
            <w:tcW w:w="6732" w:type="dxa"/>
          </w:tcPr>
          <w:p w14:paraId="3B45D9D0" w14:textId="31C122E3" w:rsidR="00545E44" w:rsidRPr="002273A0" w:rsidRDefault="00625ADC" w:rsidP="000E0596">
            <w:pPr>
              <w:widowControl w:val="0"/>
              <w:spacing w:before="240"/>
              <w:rPr>
                <w:rFonts w:ascii="Verdana" w:hAnsi="Verdana" w:cs="Times New Roman"/>
                <w:i/>
                <w:sz w:val="18"/>
                <w:szCs w:val="18"/>
              </w:rPr>
            </w:pPr>
            <w:r w:rsidRPr="00625ADC">
              <w:rPr>
                <w:rFonts w:ascii="Verdana" w:hAnsi="Verdana" w:cs="Times New Roman"/>
                <w:i/>
                <w:sz w:val="18"/>
                <w:szCs w:val="18"/>
              </w:rPr>
              <w:t>Aktivitāšu</w:t>
            </w:r>
            <w:r w:rsidR="000B35A7">
              <w:rPr>
                <w:rFonts w:ascii="Verdana" w:hAnsi="Verdana" w:cs="Times New Roman"/>
                <w:i/>
                <w:sz w:val="18"/>
                <w:szCs w:val="18"/>
              </w:rPr>
              <w:t xml:space="preserve"> kopa, </w:t>
            </w:r>
            <w:r w:rsidR="002F3581">
              <w:rPr>
                <w:rFonts w:ascii="Verdana" w:hAnsi="Verdana" w:cs="Times New Roman"/>
                <w:i/>
                <w:sz w:val="18"/>
                <w:szCs w:val="18"/>
              </w:rPr>
              <w:t xml:space="preserve">kuras </w:t>
            </w:r>
            <w:bookmarkStart w:id="0" w:name="_GoBack"/>
            <w:bookmarkEnd w:id="0"/>
            <w:r w:rsidRPr="00625ADC">
              <w:rPr>
                <w:rFonts w:ascii="Verdana" w:hAnsi="Verdana" w:cs="Times New Roman"/>
                <w:i/>
                <w:sz w:val="18"/>
                <w:szCs w:val="18"/>
              </w:rPr>
              <w:t>uzņēmumi un to darbinieki veic, lai no produkta koncepta izveidotu galaproduktu un ar to saistītos pakalpojumus</w:t>
            </w:r>
            <w:r w:rsidR="000B35A7">
              <w:rPr>
                <w:rFonts w:ascii="Verdana" w:hAnsi="Verdana" w:cs="Times New Roman"/>
                <w:i/>
                <w:sz w:val="18"/>
                <w:szCs w:val="18"/>
              </w:rPr>
              <w:t xml:space="preserve">. </w:t>
            </w:r>
            <w:r w:rsidR="000B35A7" w:rsidRPr="000B35A7">
              <w:rPr>
                <w:rFonts w:ascii="Verdana" w:hAnsi="Verdana" w:cs="Times New Roman"/>
                <w:i/>
                <w:sz w:val="18"/>
                <w:szCs w:val="18"/>
              </w:rPr>
              <w:t>Globālā mērogā šādas aktivitātes var veikt viens uzņēmums vai vairāki.</w:t>
            </w:r>
            <w:r w:rsidR="000B35A7">
              <w:rPr>
                <w:rFonts w:ascii="Verdana" w:hAnsi="Verdana" w:cs="Times New Roman"/>
                <w:i/>
                <w:sz w:val="18"/>
                <w:szCs w:val="18"/>
              </w:rPr>
              <w:t xml:space="preserve"> Tā veidojas globālās vērtību ķēdes. </w:t>
            </w:r>
          </w:p>
        </w:tc>
      </w:tr>
      <w:tr w:rsidR="00503D16" w:rsidRPr="009F0133" w14:paraId="0982B60C" w14:textId="77777777" w:rsidTr="006A2DB8">
        <w:trPr>
          <w:trHeight w:val="1149"/>
        </w:trPr>
        <w:tc>
          <w:tcPr>
            <w:tcW w:w="2268" w:type="dxa"/>
          </w:tcPr>
          <w:p w14:paraId="3B915DE4" w14:textId="55A10855" w:rsidR="00503D16" w:rsidRDefault="00503D16" w:rsidP="000E0596">
            <w:pPr>
              <w:widowControl w:val="0"/>
              <w:spacing w:before="240"/>
              <w:rPr>
                <w:rFonts w:ascii="Verdana" w:hAnsi="Verdana" w:cs="Times New Roman"/>
                <w:b/>
                <w:sz w:val="18"/>
                <w:szCs w:val="18"/>
              </w:rPr>
            </w:pPr>
            <w:r>
              <w:rPr>
                <w:rFonts w:ascii="Verdana" w:hAnsi="Verdana" w:cs="Times New Roman"/>
                <w:b/>
                <w:sz w:val="18"/>
                <w:szCs w:val="18"/>
              </w:rPr>
              <w:t>Vērtību plaisas metode</w:t>
            </w:r>
            <w:r w:rsidR="00084FE2">
              <w:rPr>
                <w:rFonts w:ascii="Verdana" w:hAnsi="Verdana" w:cs="Times New Roman"/>
                <w:b/>
                <w:sz w:val="18"/>
                <w:szCs w:val="18"/>
              </w:rPr>
              <w:t>s</w:t>
            </w:r>
          </w:p>
          <w:p w14:paraId="445AD824" w14:textId="77D8A210" w:rsidR="004730FB" w:rsidRDefault="004730FB" w:rsidP="000E0596">
            <w:pPr>
              <w:widowControl w:val="0"/>
              <w:spacing w:before="240"/>
              <w:rPr>
                <w:rFonts w:ascii="Verdana" w:hAnsi="Verdana" w:cs="Times New Roman"/>
                <w:b/>
                <w:sz w:val="18"/>
                <w:szCs w:val="18"/>
              </w:rPr>
            </w:pPr>
            <w:r w:rsidRPr="00C8703E">
              <w:rPr>
                <w:rFonts w:ascii="Verdana" w:hAnsi="Verdana"/>
                <w:i/>
                <w:sz w:val="18"/>
                <w:szCs w:val="18"/>
                <w:lang w:val="en-US"/>
              </w:rPr>
              <w:t xml:space="preserve">Gap analysis </w:t>
            </w:r>
            <w:r w:rsidR="00C8703E" w:rsidRPr="00C8703E">
              <w:rPr>
                <w:rFonts w:ascii="Verdana" w:hAnsi="Verdana"/>
                <w:i/>
                <w:sz w:val="18"/>
                <w:szCs w:val="18"/>
                <w:lang w:val="en-US"/>
              </w:rPr>
              <w:t>method</w:t>
            </w:r>
          </w:p>
        </w:tc>
        <w:tc>
          <w:tcPr>
            <w:tcW w:w="6732" w:type="dxa"/>
          </w:tcPr>
          <w:p w14:paraId="6C22AE39" w14:textId="47DC7206" w:rsidR="00503D16" w:rsidRPr="002273A0" w:rsidRDefault="00C8703E" w:rsidP="000E0596">
            <w:pPr>
              <w:widowControl w:val="0"/>
              <w:spacing w:before="240"/>
              <w:rPr>
                <w:rFonts w:ascii="Verdana" w:hAnsi="Verdana" w:cs="Times New Roman"/>
                <w:i/>
                <w:sz w:val="18"/>
                <w:szCs w:val="18"/>
              </w:rPr>
            </w:pPr>
            <w:r w:rsidRPr="002273A0">
              <w:rPr>
                <w:rFonts w:ascii="Verdana" w:hAnsi="Verdana" w:cs="Times New Roman"/>
                <w:i/>
                <w:sz w:val="18"/>
                <w:szCs w:val="18"/>
              </w:rPr>
              <w:t>Viena no m</w:t>
            </w:r>
            <w:r w:rsidR="00CD5A1F" w:rsidRPr="002273A0">
              <w:rPr>
                <w:rFonts w:ascii="Verdana" w:hAnsi="Verdana" w:cs="Times New Roman"/>
                <w:i/>
                <w:sz w:val="18"/>
                <w:szCs w:val="18"/>
              </w:rPr>
              <w:t>etod</w:t>
            </w:r>
            <w:r w:rsidRPr="002273A0">
              <w:rPr>
                <w:rFonts w:ascii="Verdana" w:hAnsi="Verdana" w:cs="Times New Roman"/>
                <w:i/>
                <w:sz w:val="18"/>
                <w:szCs w:val="18"/>
              </w:rPr>
              <w:t>ēm</w:t>
            </w:r>
            <w:r w:rsidR="00CD5A1F" w:rsidRPr="002273A0">
              <w:rPr>
                <w:rFonts w:ascii="Verdana" w:hAnsi="Verdana" w:cs="Times New Roman"/>
                <w:i/>
                <w:sz w:val="18"/>
                <w:szCs w:val="18"/>
              </w:rPr>
              <w:t xml:space="preserve">, ko var pielietot, lai identificētu </w:t>
            </w:r>
            <w:r w:rsidR="00F83F71" w:rsidRPr="002273A0">
              <w:rPr>
                <w:rFonts w:ascii="Verdana" w:hAnsi="Verdana" w:cs="Times New Roman"/>
                <w:i/>
                <w:sz w:val="18"/>
                <w:szCs w:val="18"/>
              </w:rPr>
              <w:t xml:space="preserve">GVĶ potenciālu reģionālajā līmenī. </w:t>
            </w:r>
            <w:r w:rsidR="00534E69" w:rsidRPr="002273A0">
              <w:rPr>
                <w:rFonts w:ascii="Verdana" w:hAnsi="Verdana" w:cs="Times New Roman"/>
                <w:i/>
                <w:sz w:val="18"/>
                <w:szCs w:val="18"/>
              </w:rPr>
              <w:t>Vērtību metodes</w:t>
            </w:r>
            <w:r w:rsidR="00B42419" w:rsidRPr="002273A0">
              <w:rPr>
                <w:rFonts w:ascii="Verdana" w:hAnsi="Verdana" w:cs="Times New Roman"/>
                <w:i/>
                <w:sz w:val="18"/>
                <w:szCs w:val="18"/>
              </w:rPr>
              <w:t xml:space="preserve"> 4</w:t>
            </w:r>
            <w:r w:rsidR="00534E69" w:rsidRPr="002273A0">
              <w:rPr>
                <w:rFonts w:ascii="Verdana" w:hAnsi="Verdana" w:cs="Times New Roman"/>
                <w:i/>
                <w:sz w:val="18"/>
                <w:szCs w:val="18"/>
              </w:rPr>
              <w:t xml:space="preserve"> galvenie </w:t>
            </w:r>
            <w:r w:rsidR="00D5485C" w:rsidRPr="002273A0">
              <w:rPr>
                <w:rFonts w:ascii="Verdana" w:hAnsi="Verdana" w:cs="Times New Roman"/>
                <w:i/>
                <w:sz w:val="18"/>
                <w:szCs w:val="18"/>
              </w:rPr>
              <w:t xml:space="preserve">soļi – </w:t>
            </w:r>
            <w:r w:rsidR="00B42419" w:rsidRPr="002273A0">
              <w:rPr>
                <w:rFonts w:ascii="Verdana" w:hAnsi="Verdana" w:cs="Times New Roman"/>
                <w:i/>
                <w:sz w:val="18"/>
                <w:szCs w:val="18"/>
              </w:rPr>
              <w:t xml:space="preserve">(1) </w:t>
            </w:r>
            <w:r w:rsidR="00D5485C" w:rsidRPr="002273A0">
              <w:rPr>
                <w:rFonts w:ascii="Verdana" w:hAnsi="Verdana" w:cs="Times New Roman"/>
                <w:i/>
                <w:sz w:val="18"/>
                <w:szCs w:val="18"/>
              </w:rPr>
              <w:t xml:space="preserve">noteikt esošo stāvokli, </w:t>
            </w:r>
            <w:r w:rsidR="00847C22" w:rsidRPr="002273A0">
              <w:rPr>
                <w:rFonts w:ascii="Verdana" w:hAnsi="Verdana" w:cs="Times New Roman"/>
                <w:i/>
                <w:sz w:val="18"/>
                <w:szCs w:val="18"/>
              </w:rPr>
              <w:t xml:space="preserve">(2) </w:t>
            </w:r>
            <w:r w:rsidR="00B42419" w:rsidRPr="002273A0">
              <w:rPr>
                <w:rFonts w:ascii="Verdana" w:hAnsi="Verdana" w:cs="Times New Roman"/>
                <w:i/>
                <w:sz w:val="18"/>
                <w:szCs w:val="18"/>
              </w:rPr>
              <w:t>paredzēt nākotnes vēlamo stāvokli,</w:t>
            </w:r>
            <w:r w:rsidR="00847C22" w:rsidRPr="002273A0">
              <w:rPr>
                <w:rFonts w:ascii="Verdana" w:hAnsi="Verdana" w:cs="Times New Roman"/>
                <w:i/>
                <w:sz w:val="18"/>
                <w:szCs w:val="18"/>
              </w:rPr>
              <w:t xml:space="preserve"> (3)</w:t>
            </w:r>
            <w:r w:rsidR="00B42419" w:rsidRPr="002273A0">
              <w:rPr>
                <w:rFonts w:ascii="Verdana" w:hAnsi="Verdana" w:cs="Times New Roman"/>
                <w:i/>
                <w:sz w:val="18"/>
                <w:szCs w:val="18"/>
              </w:rPr>
              <w:t xml:space="preserve"> identificēt plaisas, </w:t>
            </w:r>
            <w:r w:rsidR="00847C22" w:rsidRPr="002273A0">
              <w:rPr>
                <w:rFonts w:ascii="Verdana" w:hAnsi="Verdana" w:cs="Times New Roman"/>
                <w:i/>
                <w:sz w:val="18"/>
                <w:szCs w:val="18"/>
              </w:rPr>
              <w:t xml:space="preserve">(4) </w:t>
            </w:r>
            <w:r w:rsidR="00B42419" w:rsidRPr="002273A0">
              <w:rPr>
                <w:rFonts w:ascii="Verdana" w:hAnsi="Verdana" w:cs="Times New Roman"/>
                <w:i/>
                <w:sz w:val="18"/>
                <w:szCs w:val="18"/>
              </w:rPr>
              <w:t xml:space="preserve">paredzēt plānu šo plaisu novēršanai. </w:t>
            </w:r>
            <w:r w:rsidR="00AF66B8" w:rsidRPr="002273A0">
              <w:rPr>
                <w:rFonts w:ascii="Verdana" w:hAnsi="Verdana" w:cs="Times New Roman"/>
                <w:i/>
                <w:sz w:val="18"/>
                <w:szCs w:val="18"/>
              </w:rPr>
              <w:t xml:space="preserve"> </w:t>
            </w:r>
            <w:r w:rsidR="007C6E1E" w:rsidRPr="002273A0">
              <w:rPr>
                <w:rFonts w:ascii="Verdana" w:hAnsi="Verdana" w:cs="Times New Roman"/>
                <w:i/>
                <w:sz w:val="18"/>
                <w:szCs w:val="18"/>
              </w:rPr>
              <w:t>Vērtības plaisas analīzes</w:t>
            </w:r>
            <w:r w:rsidR="00084FE2" w:rsidRPr="002273A0">
              <w:rPr>
                <w:rFonts w:ascii="Verdana" w:hAnsi="Verdana" w:cs="Times New Roman"/>
                <w:i/>
                <w:sz w:val="18"/>
                <w:szCs w:val="18"/>
              </w:rPr>
              <w:t xml:space="preserve"> rīk</w:t>
            </w:r>
            <w:r w:rsidR="007C6E1E" w:rsidRPr="002273A0">
              <w:rPr>
                <w:rFonts w:ascii="Verdana" w:hAnsi="Verdana" w:cs="Times New Roman"/>
                <w:i/>
                <w:sz w:val="18"/>
                <w:szCs w:val="18"/>
              </w:rPr>
              <w:t>u piemēri:</w:t>
            </w:r>
            <w:r w:rsidR="00084FE2" w:rsidRPr="002273A0">
              <w:rPr>
                <w:rFonts w:ascii="Verdana" w:hAnsi="Verdana" w:cs="Times New Roman"/>
                <w:i/>
                <w:sz w:val="18"/>
                <w:szCs w:val="18"/>
              </w:rPr>
              <w:t xml:space="preserve"> SVID (stiprās puses, vāj</w:t>
            </w:r>
            <w:r w:rsidR="0097778C" w:rsidRPr="002273A0">
              <w:rPr>
                <w:rFonts w:ascii="Verdana" w:hAnsi="Verdana" w:cs="Times New Roman"/>
                <w:i/>
                <w:sz w:val="18"/>
                <w:szCs w:val="18"/>
              </w:rPr>
              <w:t>ās</w:t>
            </w:r>
            <w:r w:rsidR="00084FE2" w:rsidRPr="002273A0">
              <w:rPr>
                <w:rFonts w:ascii="Verdana" w:hAnsi="Verdana" w:cs="Times New Roman"/>
                <w:i/>
                <w:sz w:val="18"/>
                <w:szCs w:val="18"/>
              </w:rPr>
              <w:t xml:space="preserve"> puses, iespējas, draudi)</w:t>
            </w:r>
            <w:r w:rsidR="001D4261" w:rsidRPr="002273A0">
              <w:rPr>
                <w:rFonts w:ascii="Verdana" w:hAnsi="Verdana" w:cs="Times New Roman"/>
                <w:i/>
                <w:sz w:val="18"/>
                <w:szCs w:val="18"/>
              </w:rPr>
              <w:t xml:space="preserve"> analīze</w:t>
            </w:r>
            <w:r w:rsidR="00AD23BD" w:rsidRPr="002273A0">
              <w:rPr>
                <w:rFonts w:ascii="Verdana" w:hAnsi="Verdana" w:cs="Times New Roman"/>
                <w:i/>
                <w:sz w:val="18"/>
                <w:szCs w:val="18"/>
              </w:rPr>
              <w:t xml:space="preserve">, </w:t>
            </w:r>
            <w:proofErr w:type="spellStart"/>
            <w:r w:rsidR="00AD23BD" w:rsidRPr="002273A0">
              <w:rPr>
                <w:rFonts w:ascii="Verdana" w:hAnsi="Verdana" w:cs="Times New Roman"/>
                <w:i/>
                <w:sz w:val="18"/>
                <w:szCs w:val="18"/>
              </w:rPr>
              <w:t>MCKin</w:t>
            </w:r>
            <w:r w:rsidR="007F6837" w:rsidRPr="002273A0">
              <w:rPr>
                <w:rFonts w:ascii="Verdana" w:hAnsi="Verdana" w:cs="Times New Roman"/>
                <w:i/>
                <w:sz w:val="18"/>
                <w:szCs w:val="18"/>
              </w:rPr>
              <w:t>sey</w:t>
            </w:r>
            <w:proofErr w:type="spellEnd"/>
            <w:r w:rsidR="007F6837" w:rsidRPr="002273A0">
              <w:rPr>
                <w:rFonts w:ascii="Verdana" w:hAnsi="Verdana" w:cs="Times New Roman"/>
                <w:i/>
                <w:sz w:val="18"/>
                <w:szCs w:val="18"/>
              </w:rPr>
              <w:t xml:space="preserve"> 7S ietvars</w:t>
            </w:r>
            <w:r w:rsidR="00054675">
              <w:rPr>
                <w:rFonts w:ascii="Verdana" w:hAnsi="Verdana" w:cs="Times New Roman"/>
                <w:i/>
                <w:sz w:val="18"/>
                <w:szCs w:val="18"/>
              </w:rPr>
              <w:t xml:space="preserve">, </w:t>
            </w:r>
            <w:proofErr w:type="spellStart"/>
            <w:r w:rsidR="00FD6612" w:rsidRPr="002273A0">
              <w:rPr>
                <w:rFonts w:ascii="Verdana" w:hAnsi="Verdana" w:cs="Times New Roman"/>
                <w:i/>
                <w:sz w:val="18"/>
                <w:szCs w:val="18"/>
              </w:rPr>
              <w:t>Nad</w:t>
            </w:r>
            <w:r w:rsidR="00A234AB" w:rsidRPr="002273A0">
              <w:rPr>
                <w:rFonts w:ascii="Verdana" w:hAnsi="Verdana" w:cs="Times New Roman"/>
                <w:i/>
                <w:sz w:val="18"/>
                <w:szCs w:val="18"/>
              </w:rPr>
              <w:t>lera</w:t>
            </w:r>
            <w:proofErr w:type="spellEnd"/>
            <w:r w:rsidR="00A234AB" w:rsidRPr="002273A0">
              <w:rPr>
                <w:rFonts w:ascii="Verdana" w:hAnsi="Verdana" w:cs="Times New Roman"/>
                <w:i/>
                <w:sz w:val="18"/>
                <w:szCs w:val="18"/>
              </w:rPr>
              <w:t xml:space="preserve"> – </w:t>
            </w:r>
            <w:proofErr w:type="spellStart"/>
            <w:r w:rsidR="00A234AB" w:rsidRPr="002273A0">
              <w:rPr>
                <w:rFonts w:ascii="Verdana" w:hAnsi="Verdana" w:cs="Times New Roman"/>
                <w:i/>
                <w:sz w:val="18"/>
                <w:szCs w:val="18"/>
              </w:rPr>
              <w:t>Tušmana</w:t>
            </w:r>
            <w:proofErr w:type="spellEnd"/>
            <w:r w:rsidR="00A234AB" w:rsidRPr="002273A0">
              <w:rPr>
                <w:rFonts w:ascii="Verdana" w:hAnsi="Verdana" w:cs="Times New Roman"/>
                <w:i/>
                <w:sz w:val="18"/>
                <w:szCs w:val="18"/>
              </w:rPr>
              <w:t xml:space="preserve"> modelis (</w:t>
            </w:r>
            <w:proofErr w:type="spellStart"/>
            <w:r w:rsidR="00A234AB" w:rsidRPr="002273A0">
              <w:rPr>
                <w:rFonts w:ascii="Verdana" w:hAnsi="Verdana" w:cs="Times New Roman"/>
                <w:i/>
                <w:sz w:val="18"/>
                <w:szCs w:val="18"/>
              </w:rPr>
              <w:t>Nadler-Tushman</w:t>
            </w:r>
            <w:proofErr w:type="spellEnd"/>
            <w:r w:rsidR="00A234AB" w:rsidRPr="002273A0">
              <w:rPr>
                <w:rFonts w:ascii="Verdana" w:hAnsi="Verdana" w:cs="Times New Roman"/>
                <w:i/>
                <w:sz w:val="18"/>
                <w:szCs w:val="18"/>
              </w:rPr>
              <w:t xml:space="preserve"> </w:t>
            </w:r>
            <w:proofErr w:type="spellStart"/>
            <w:r w:rsidR="00A234AB" w:rsidRPr="002273A0">
              <w:rPr>
                <w:rFonts w:ascii="Verdana" w:hAnsi="Verdana" w:cs="Times New Roman"/>
                <w:i/>
                <w:sz w:val="18"/>
                <w:szCs w:val="18"/>
              </w:rPr>
              <w:t>Model</w:t>
            </w:r>
            <w:proofErr w:type="spellEnd"/>
            <w:r w:rsidR="00A234AB" w:rsidRPr="002273A0">
              <w:rPr>
                <w:rFonts w:ascii="Verdana" w:hAnsi="Verdana" w:cs="Times New Roman"/>
                <w:i/>
                <w:sz w:val="18"/>
                <w:szCs w:val="18"/>
              </w:rPr>
              <w:t>)</w:t>
            </w:r>
            <w:r w:rsidR="0003591D" w:rsidRPr="002273A0">
              <w:rPr>
                <w:rFonts w:ascii="Verdana" w:hAnsi="Verdana" w:cs="Times New Roman"/>
                <w:i/>
                <w:sz w:val="18"/>
                <w:szCs w:val="18"/>
              </w:rPr>
              <w:t xml:space="preserve">. </w:t>
            </w:r>
          </w:p>
        </w:tc>
      </w:tr>
    </w:tbl>
    <w:p w14:paraId="6617EEC5" w14:textId="77777777" w:rsidR="00A47E36" w:rsidRPr="009F0133" w:rsidRDefault="00A47E36" w:rsidP="00054675">
      <w:pPr>
        <w:spacing w:after="0"/>
        <w:jc w:val="center"/>
        <w:rPr>
          <w:rFonts w:ascii="Times New Roman" w:hAnsi="Times New Roman" w:cs="Times New Roman"/>
          <w:b/>
          <w:sz w:val="18"/>
          <w:szCs w:val="18"/>
        </w:rPr>
      </w:pPr>
      <w:r w:rsidRPr="009F0133">
        <w:rPr>
          <w:noProof/>
          <w:sz w:val="18"/>
          <w:szCs w:val="18"/>
        </w:rPr>
        <w:drawing>
          <wp:inline distT="114300" distB="114300" distL="114300" distR="114300" wp14:anchorId="6214DDCA" wp14:editId="4D377407">
            <wp:extent cx="5036127" cy="3934691"/>
            <wp:effectExtent l="0" t="0" r="0" b="889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extLst>
                        <a:ext uri="{28A0092B-C50C-407E-A947-70E740481C1C}">
                          <a14:useLocalDpi xmlns:a14="http://schemas.microsoft.com/office/drawing/2010/main" val="0"/>
                        </a:ext>
                      </a:extLst>
                    </a:blip>
                    <a:srcRect/>
                    <a:stretch>
                      <a:fillRect/>
                    </a:stretch>
                  </pic:blipFill>
                  <pic:spPr>
                    <a:xfrm>
                      <a:off x="0" y="0"/>
                      <a:ext cx="5044892" cy="3941539"/>
                    </a:xfrm>
                    <a:prstGeom prst="rect">
                      <a:avLst/>
                    </a:prstGeom>
                    <a:ln/>
                  </pic:spPr>
                </pic:pic>
              </a:graphicData>
            </a:graphic>
          </wp:inline>
        </w:drawing>
      </w:r>
    </w:p>
    <w:p w14:paraId="3F2FEE95" w14:textId="6E3FA46B" w:rsidR="00A47E36" w:rsidRPr="009F0133" w:rsidRDefault="00A47E36" w:rsidP="00A47E36">
      <w:pPr>
        <w:pStyle w:val="Caption"/>
        <w:rPr>
          <w:rFonts w:ascii="Times New Roman" w:hAnsi="Times New Roman" w:cs="Times New Roman"/>
          <w:b/>
        </w:rPr>
      </w:pPr>
      <w:r w:rsidRPr="009F0133">
        <w:t xml:space="preserve">Attēls </w:t>
      </w:r>
      <w:r w:rsidR="00CB00D3" w:rsidRPr="009F0133">
        <w:rPr>
          <w:noProof/>
        </w:rPr>
        <w:fldChar w:fldCharType="begin"/>
      </w:r>
      <w:r w:rsidR="00CB00D3" w:rsidRPr="009F0133">
        <w:rPr>
          <w:noProof/>
        </w:rPr>
        <w:instrText xml:space="preserve"> SEQ Attēls \* ARABIC </w:instrText>
      </w:r>
      <w:r w:rsidR="00CB00D3" w:rsidRPr="009F0133">
        <w:rPr>
          <w:noProof/>
        </w:rPr>
        <w:fldChar w:fldCharType="separate"/>
      </w:r>
      <w:r w:rsidRPr="009F0133">
        <w:rPr>
          <w:noProof/>
        </w:rPr>
        <w:t>1</w:t>
      </w:r>
      <w:r w:rsidR="00CB00D3" w:rsidRPr="009F0133">
        <w:rPr>
          <w:noProof/>
        </w:rPr>
        <w:fldChar w:fldCharType="end"/>
      </w:r>
      <w:r w:rsidRPr="009F0133">
        <w:t xml:space="preserve">. Jaunā industriālā politika un tās elementi. </w:t>
      </w:r>
    </w:p>
    <w:p w14:paraId="2CE09D00" w14:textId="77777777" w:rsidR="00A47E36" w:rsidRPr="009F0133" w:rsidRDefault="00A47E36" w:rsidP="00A47E36">
      <w:pPr>
        <w:widowControl w:val="0"/>
        <w:spacing w:after="0" w:line="240" w:lineRule="auto"/>
        <w:jc w:val="center"/>
        <w:rPr>
          <w:sz w:val="18"/>
          <w:szCs w:val="18"/>
        </w:rPr>
      </w:pPr>
      <w:r w:rsidRPr="009F0133">
        <w:rPr>
          <w:noProof/>
          <w:sz w:val="18"/>
          <w:szCs w:val="18"/>
        </w:rPr>
        <w:drawing>
          <wp:inline distT="0" distB="0" distL="0" distR="0" wp14:anchorId="7F27934C" wp14:editId="2C4ABD2D">
            <wp:extent cx="4533900" cy="1120775"/>
            <wp:effectExtent l="0" t="0" r="0" b="3175"/>
            <wp:docPr id="15365" name="Picture 2">
              <a:extLst xmlns:a="http://schemas.openxmlformats.org/drawingml/2006/main">
                <a:ext uri="{FF2B5EF4-FFF2-40B4-BE49-F238E27FC236}">
                  <a16:creationId xmlns:a16="http://schemas.microsoft.com/office/drawing/2014/main" id="{2A8EBF3C-1397-4CE3-8960-41DB6F3889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 name="Picture 2">
                      <a:extLst>
                        <a:ext uri="{FF2B5EF4-FFF2-40B4-BE49-F238E27FC236}">
                          <a16:creationId xmlns:a16="http://schemas.microsoft.com/office/drawing/2014/main" id="{2A8EBF3C-1397-4CE3-8960-41DB6F38897C}"/>
                        </a:ext>
                      </a:extLst>
                    </pic:cNvPr>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33900" cy="112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FF3DECB" w14:textId="77777777" w:rsidR="00A47E36" w:rsidRPr="009F0133" w:rsidRDefault="00A47E36" w:rsidP="00A47E36">
      <w:pPr>
        <w:widowControl w:val="0"/>
        <w:spacing w:after="0" w:line="240" w:lineRule="auto"/>
        <w:jc w:val="center"/>
        <w:rPr>
          <w:i/>
          <w:sz w:val="18"/>
          <w:szCs w:val="18"/>
          <w:lang w:val="en-US"/>
        </w:rPr>
      </w:pPr>
      <w:r w:rsidRPr="009F0133">
        <w:rPr>
          <w:i/>
          <w:iCs/>
          <w:sz w:val="18"/>
          <w:szCs w:val="18"/>
          <w:lang w:val="lv-LV"/>
        </w:rPr>
        <w:t>Mācības finansētas no Eiropas Sociālā fonda projekta</w:t>
      </w:r>
    </w:p>
    <w:p w14:paraId="09B6EAC4" w14:textId="77777777" w:rsidR="00A47E36" w:rsidRPr="009F0133" w:rsidRDefault="00A47E36" w:rsidP="00A47E36">
      <w:pPr>
        <w:widowControl w:val="0"/>
        <w:spacing w:after="0" w:line="240" w:lineRule="auto"/>
        <w:jc w:val="center"/>
        <w:rPr>
          <w:i/>
          <w:sz w:val="18"/>
          <w:szCs w:val="18"/>
        </w:rPr>
      </w:pPr>
      <w:r w:rsidRPr="009F0133">
        <w:rPr>
          <w:i/>
          <w:iCs/>
          <w:sz w:val="18"/>
          <w:szCs w:val="18"/>
          <w:lang w:val="lv-LV"/>
        </w:rPr>
        <w:t>Nr.3.4.2.0/15/I/001 “Valsts pārvaldes cilvēkresursu profesionālā pilnveide labāka regulējuma izstrādē mazo un vidējo komersantu atbalsta jomā”</w:t>
      </w:r>
    </w:p>
    <w:sectPr w:rsidR="00A47E36" w:rsidRPr="009F0133" w:rsidSect="00054675">
      <w:headerReference w:type="default" r:id="rId21"/>
      <w:footerReference w:type="default" r:id="rId22"/>
      <w:pgSz w:w="11909" w:h="16834"/>
      <w:pgMar w:top="2430" w:right="1134" w:bottom="1890" w:left="1701" w:header="81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9B5CA" w14:textId="77777777" w:rsidR="002C0B52" w:rsidRDefault="002C0B52" w:rsidP="00A47E36">
      <w:pPr>
        <w:spacing w:after="0" w:line="240" w:lineRule="auto"/>
      </w:pPr>
      <w:r>
        <w:separator/>
      </w:r>
    </w:p>
  </w:endnote>
  <w:endnote w:type="continuationSeparator" w:id="0">
    <w:p w14:paraId="389918E4" w14:textId="77777777" w:rsidR="002C0B52" w:rsidRDefault="002C0B52" w:rsidP="00A4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E0A98" w14:textId="77777777" w:rsidR="00A47E36" w:rsidRPr="005916C2" w:rsidRDefault="00A47E36" w:rsidP="00A47E36">
    <w:pPr>
      <w:pStyle w:val="Footer"/>
      <w:jc w:val="center"/>
      <w:rPr>
        <w:rFonts w:ascii="Segoe UI Light" w:hAnsi="Segoe UI Light" w:cs="Segoe UI Light"/>
        <w:lang w:val="lv-LV"/>
      </w:rPr>
    </w:pPr>
    <w:r w:rsidRPr="005916C2">
      <w:rPr>
        <w:rFonts w:ascii="Segoe UI Light" w:hAnsi="Segoe UI Light" w:cs="Segoe UI Light"/>
        <w:lang w:val="lv-LV"/>
      </w:rPr>
      <w:t>“</w:t>
    </w:r>
    <w:proofErr w:type="spellStart"/>
    <w:r w:rsidRPr="005916C2">
      <w:rPr>
        <w:rFonts w:ascii="Segoe UI Light" w:hAnsi="Segoe UI Light" w:cs="Segoe UI Light"/>
        <w:lang w:val="lv-LV"/>
      </w:rPr>
      <w:t>Fidea</w:t>
    </w:r>
    <w:proofErr w:type="spellEnd"/>
    <w:r w:rsidRPr="005916C2">
      <w:rPr>
        <w:rFonts w:ascii="Segoe UI Light" w:hAnsi="Segoe UI Light" w:cs="Segoe UI Light"/>
        <w:lang w:val="lv-LV"/>
      </w:rPr>
      <w:t>” SIA,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656E7" w14:textId="77777777" w:rsidR="002C0B52" w:rsidRDefault="002C0B52" w:rsidP="00A47E36">
      <w:pPr>
        <w:spacing w:after="0" w:line="240" w:lineRule="auto"/>
      </w:pPr>
      <w:r>
        <w:separator/>
      </w:r>
    </w:p>
  </w:footnote>
  <w:footnote w:type="continuationSeparator" w:id="0">
    <w:p w14:paraId="7F10D3DF" w14:textId="77777777" w:rsidR="002C0B52" w:rsidRDefault="002C0B52" w:rsidP="00A47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B8B7E" w14:textId="3D329975" w:rsidR="00585963" w:rsidRPr="00585963" w:rsidRDefault="008817A8" w:rsidP="00585963">
    <w:pPr>
      <w:pStyle w:val="Header"/>
      <w:jc w:val="right"/>
      <w:rPr>
        <w:rFonts w:ascii="Verdana" w:hAnsi="Verdana"/>
        <w:sz w:val="18"/>
        <w:szCs w:val="18"/>
        <w:lang w:val="lv-LV"/>
      </w:rPr>
    </w:pPr>
    <w:r w:rsidRPr="00585963">
      <w:rPr>
        <w:rFonts w:ascii="Verdana" w:hAnsi="Verdana"/>
        <w:noProof/>
        <w:sz w:val="18"/>
        <w:szCs w:val="18"/>
      </w:rPr>
      <w:drawing>
        <wp:anchor distT="0" distB="0" distL="114300" distR="114300" simplePos="0" relativeHeight="251659264" behindDoc="0" locked="0" layoutInCell="1" allowOverlap="1" wp14:anchorId="658C6F8E" wp14:editId="59E5BFC7">
          <wp:simplePos x="0" y="0"/>
          <wp:positionH relativeFrom="column">
            <wp:posOffset>0</wp:posOffset>
          </wp:positionH>
          <wp:positionV relativeFrom="paragraph">
            <wp:posOffset>-157884</wp:posOffset>
          </wp:positionV>
          <wp:extent cx="1079500" cy="975360"/>
          <wp:effectExtent l="0" t="0" r="635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s-logo-no-facebook-500x500.png"/>
                  <pic:cNvPicPr/>
                </pic:nvPicPr>
                <pic:blipFill rotWithShape="1">
                  <a:blip r:embed="rId1">
                    <a:extLst>
                      <a:ext uri="{28A0092B-C50C-407E-A947-70E740481C1C}">
                        <a14:useLocalDpi xmlns:a14="http://schemas.microsoft.com/office/drawing/2010/main" val="0"/>
                      </a:ext>
                    </a:extLst>
                  </a:blip>
                  <a:srcRect t="-1" b="9647"/>
                  <a:stretch/>
                </pic:blipFill>
                <pic:spPr bwMode="auto">
                  <a:xfrm>
                    <a:off x="0" y="0"/>
                    <a:ext cx="1079500" cy="975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5963" w:rsidRPr="00585963">
      <w:rPr>
        <w:rFonts w:ascii="Verdana" w:hAnsi="Verdana"/>
        <w:sz w:val="18"/>
        <w:szCs w:val="18"/>
        <w:lang w:val="lv-LV"/>
      </w:rPr>
      <w:t xml:space="preserve">Latvijas Viedās specializācijas stratēģijas (RIS3) ieviešana </w:t>
    </w:r>
  </w:p>
  <w:p w14:paraId="56533046" w14:textId="3B6F45A4" w:rsidR="00585963" w:rsidRPr="00C34D3C" w:rsidRDefault="00585963" w:rsidP="00585963">
    <w:pPr>
      <w:pStyle w:val="Header"/>
      <w:spacing w:after="240"/>
      <w:jc w:val="right"/>
      <w:rPr>
        <w:rFonts w:ascii="Verdana" w:hAnsi="Verdana"/>
        <w:sz w:val="18"/>
        <w:szCs w:val="18"/>
        <w:lang w:val="lv-LV"/>
      </w:rPr>
    </w:pPr>
    <w:r w:rsidRPr="00585963">
      <w:rPr>
        <w:rFonts w:ascii="Verdana" w:hAnsi="Verdana"/>
        <w:sz w:val="18"/>
        <w:szCs w:val="18"/>
        <w:lang w:val="lv-LV"/>
      </w:rPr>
      <w:t>institūciju nodarbināto analītiskās kapacitātes stiprināšanai</w:t>
    </w:r>
  </w:p>
  <w:p w14:paraId="506FC804" w14:textId="2ABEEDCE" w:rsidR="004E04CC" w:rsidRDefault="00585963" w:rsidP="004E04CC">
    <w:pPr>
      <w:pStyle w:val="Header"/>
      <w:jc w:val="right"/>
      <w:rPr>
        <w:rFonts w:ascii="Verdana" w:hAnsi="Verdana"/>
        <w:b/>
        <w:sz w:val="18"/>
        <w:szCs w:val="18"/>
        <w:lang w:val="lv-LV"/>
      </w:rPr>
    </w:pPr>
    <w:r w:rsidRPr="00585963">
      <w:rPr>
        <w:rFonts w:ascii="Verdana" w:hAnsi="Verdana"/>
        <w:b/>
        <w:sz w:val="18"/>
        <w:szCs w:val="18"/>
        <w:lang w:val="lv-LV"/>
      </w:rPr>
      <w:t>Kurss</w:t>
    </w:r>
    <w:r w:rsidR="00883532">
      <w:rPr>
        <w:rFonts w:ascii="Verdana" w:hAnsi="Verdana"/>
        <w:b/>
        <w:sz w:val="18"/>
        <w:szCs w:val="18"/>
        <w:lang w:val="lv-LV"/>
      </w:rPr>
      <w:t xml:space="preserve"> </w:t>
    </w:r>
    <w:r w:rsidRPr="00585963">
      <w:rPr>
        <w:rFonts w:ascii="Verdana" w:hAnsi="Verdana"/>
        <w:b/>
        <w:sz w:val="18"/>
        <w:szCs w:val="18"/>
        <w:lang w:val="lv-LV"/>
      </w:rPr>
      <w:t>(</w:t>
    </w:r>
    <w:r w:rsidR="00C34D3C">
      <w:rPr>
        <w:rFonts w:ascii="Verdana" w:hAnsi="Verdana"/>
        <w:b/>
        <w:sz w:val="18"/>
        <w:szCs w:val="18"/>
        <w:lang w:val="lv-LV"/>
      </w:rPr>
      <w:t>40</w:t>
    </w:r>
    <w:r w:rsidRPr="00585963">
      <w:rPr>
        <w:rFonts w:ascii="Verdana" w:hAnsi="Verdana"/>
        <w:b/>
        <w:sz w:val="18"/>
        <w:szCs w:val="18"/>
        <w:lang w:val="lv-LV"/>
      </w:rPr>
      <w:t xml:space="preserve"> ak.</w:t>
    </w:r>
    <w:r>
      <w:rPr>
        <w:rFonts w:ascii="Verdana" w:hAnsi="Verdana"/>
        <w:b/>
        <w:sz w:val="18"/>
        <w:szCs w:val="18"/>
        <w:lang w:val="lv-LV"/>
      </w:rPr>
      <w:t xml:space="preserve"> </w:t>
    </w:r>
    <w:r w:rsidRPr="00585963">
      <w:rPr>
        <w:rFonts w:ascii="Verdana" w:hAnsi="Verdana"/>
        <w:b/>
        <w:sz w:val="18"/>
        <w:szCs w:val="18"/>
        <w:lang w:val="lv-LV"/>
      </w:rPr>
      <w:t>st</w:t>
    </w:r>
    <w:r>
      <w:rPr>
        <w:rFonts w:ascii="Verdana" w:hAnsi="Verdana"/>
        <w:b/>
        <w:sz w:val="18"/>
        <w:szCs w:val="18"/>
        <w:lang w:val="lv-LV"/>
      </w:rPr>
      <w:t>.)</w:t>
    </w:r>
    <w:r w:rsidRPr="00585963">
      <w:rPr>
        <w:rFonts w:ascii="Verdana" w:hAnsi="Verdana"/>
        <w:b/>
        <w:sz w:val="18"/>
        <w:szCs w:val="18"/>
        <w:lang w:val="lv-LV"/>
      </w:rPr>
      <w:t xml:space="preserve">: </w:t>
    </w:r>
    <w:r w:rsidR="00AB4E9C">
      <w:rPr>
        <w:rFonts w:ascii="Verdana" w:hAnsi="Verdana"/>
        <w:b/>
        <w:sz w:val="18"/>
        <w:szCs w:val="18"/>
        <w:lang w:val="lv-LV"/>
      </w:rPr>
      <w:t>RIS3 īstenošana un uzraudzība</w:t>
    </w:r>
  </w:p>
  <w:p w14:paraId="04B7E261" w14:textId="71246BF7" w:rsidR="008817A8" w:rsidRPr="00585963" w:rsidRDefault="00585963" w:rsidP="00CD70DA">
    <w:pPr>
      <w:pStyle w:val="Header"/>
      <w:jc w:val="right"/>
      <w:rPr>
        <w:rFonts w:ascii="Verdana" w:hAnsi="Verdana"/>
        <w:b/>
        <w:sz w:val="18"/>
        <w:szCs w:val="18"/>
        <w:lang w:val="lv-LV"/>
      </w:rPr>
    </w:pPr>
    <w:r>
      <w:rPr>
        <w:rFonts w:ascii="Verdana" w:hAnsi="Verdana"/>
        <w:b/>
        <w:sz w:val="18"/>
        <w:szCs w:val="18"/>
        <w:lang w:val="lv-LV"/>
      </w:rPr>
      <w:t>Terminoloģija</w:t>
    </w:r>
    <w:r w:rsidR="00CD70DA">
      <w:rPr>
        <w:rFonts w:ascii="Verdana" w:hAnsi="Verdana"/>
        <w:b/>
        <w:sz w:val="18"/>
        <w:szCs w:val="18"/>
        <w:lang w:val="lv-LV"/>
      </w:rPr>
      <w:t xml:space="preserve">, </w:t>
    </w:r>
    <w:r w:rsidR="008817A8">
      <w:rPr>
        <w:rFonts w:ascii="Verdana" w:hAnsi="Verdana"/>
        <w:b/>
        <w:sz w:val="18"/>
        <w:szCs w:val="18"/>
        <w:lang w:val="lv-LV"/>
      </w:rPr>
      <w:t>16.11.2018.</w:t>
    </w:r>
    <w:r w:rsidR="008817A8" w:rsidRPr="008817A8">
      <w:rPr>
        <w:rFonts w:ascii="Verdana" w:hAnsi="Verdana"/>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70A54"/>
    <w:multiLevelType w:val="hybridMultilevel"/>
    <w:tmpl w:val="C6B21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448D2"/>
    <w:multiLevelType w:val="hybridMultilevel"/>
    <w:tmpl w:val="B86A50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F1E07"/>
    <w:multiLevelType w:val="hybridMultilevel"/>
    <w:tmpl w:val="5DBC5D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7F75DB"/>
    <w:multiLevelType w:val="hybridMultilevel"/>
    <w:tmpl w:val="12546A5A"/>
    <w:lvl w:ilvl="0" w:tplc="6E263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544B18"/>
    <w:multiLevelType w:val="hybridMultilevel"/>
    <w:tmpl w:val="42E229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D7EFC"/>
    <w:multiLevelType w:val="hybridMultilevel"/>
    <w:tmpl w:val="9D567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316A34"/>
    <w:multiLevelType w:val="hybridMultilevel"/>
    <w:tmpl w:val="1414A2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694BDE"/>
    <w:multiLevelType w:val="hybridMultilevel"/>
    <w:tmpl w:val="6B2AC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597D5E"/>
    <w:multiLevelType w:val="hybridMultilevel"/>
    <w:tmpl w:val="C228F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7C0A60"/>
    <w:multiLevelType w:val="hybridMultilevel"/>
    <w:tmpl w:val="4D2C08EA"/>
    <w:lvl w:ilvl="0" w:tplc="03226ABC">
      <w:start w:val="1"/>
      <w:numFmt w:val="decimal"/>
      <w:lvlText w:val="%1."/>
      <w:lvlJc w:val="left"/>
      <w:pPr>
        <w:ind w:left="852" w:hanging="4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720A1F"/>
    <w:multiLevelType w:val="hybridMultilevel"/>
    <w:tmpl w:val="F774C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9"/>
  </w:num>
  <w:num w:numId="5">
    <w:abstractNumId w:val="2"/>
  </w:num>
  <w:num w:numId="6">
    <w:abstractNumId w:val="7"/>
  </w:num>
  <w:num w:numId="7">
    <w:abstractNumId w:val="1"/>
  </w:num>
  <w:num w:numId="8">
    <w:abstractNumId w:val="8"/>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E630B"/>
    <w:rsid w:val="00001859"/>
    <w:rsid w:val="000255A8"/>
    <w:rsid w:val="0003591D"/>
    <w:rsid w:val="00043D56"/>
    <w:rsid w:val="00054675"/>
    <w:rsid w:val="0006294D"/>
    <w:rsid w:val="00075259"/>
    <w:rsid w:val="00084FE2"/>
    <w:rsid w:val="0008593A"/>
    <w:rsid w:val="000B35A7"/>
    <w:rsid w:val="000B462D"/>
    <w:rsid w:val="000D2BF2"/>
    <w:rsid w:val="000E0596"/>
    <w:rsid w:val="000E1367"/>
    <w:rsid w:val="001203EB"/>
    <w:rsid w:val="00136C96"/>
    <w:rsid w:val="0016152B"/>
    <w:rsid w:val="0018464C"/>
    <w:rsid w:val="001D4089"/>
    <w:rsid w:val="001D4261"/>
    <w:rsid w:val="001F20D9"/>
    <w:rsid w:val="00210A3D"/>
    <w:rsid w:val="002273A0"/>
    <w:rsid w:val="00245796"/>
    <w:rsid w:val="002725BB"/>
    <w:rsid w:val="00296C20"/>
    <w:rsid w:val="002971EB"/>
    <w:rsid w:val="002A6D1A"/>
    <w:rsid w:val="002A724F"/>
    <w:rsid w:val="002C0B52"/>
    <w:rsid w:val="002E14F2"/>
    <w:rsid w:val="002E167F"/>
    <w:rsid w:val="002E2C62"/>
    <w:rsid w:val="002E669A"/>
    <w:rsid w:val="002F3581"/>
    <w:rsid w:val="002F7337"/>
    <w:rsid w:val="00332DB3"/>
    <w:rsid w:val="0034050B"/>
    <w:rsid w:val="0034179E"/>
    <w:rsid w:val="00392E65"/>
    <w:rsid w:val="003A41AE"/>
    <w:rsid w:val="003C1A44"/>
    <w:rsid w:val="003F1BB4"/>
    <w:rsid w:val="0040795B"/>
    <w:rsid w:val="0041561A"/>
    <w:rsid w:val="0043402F"/>
    <w:rsid w:val="00441EBD"/>
    <w:rsid w:val="004730FB"/>
    <w:rsid w:val="004758EF"/>
    <w:rsid w:val="004B1314"/>
    <w:rsid w:val="004B333E"/>
    <w:rsid w:val="004B3F4E"/>
    <w:rsid w:val="004B46F5"/>
    <w:rsid w:val="004C254C"/>
    <w:rsid w:val="004D0391"/>
    <w:rsid w:val="004D1B94"/>
    <w:rsid w:val="004E04CC"/>
    <w:rsid w:val="00503D16"/>
    <w:rsid w:val="005138ED"/>
    <w:rsid w:val="00534E69"/>
    <w:rsid w:val="00537EAA"/>
    <w:rsid w:val="00545E44"/>
    <w:rsid w:val="00554246"/>
    <w:rsid w:val="00585963"/>
    <w:rsid w:val="005916C2"/>
    <w:rsid w:val="00591E6C"/>
    <w:rsid w:val="00597E96"/>
    <w:rsid w:val="005C1E7F"/>
    <w:rsid w:val="005F3CC3"/>
    <w:rsid w:val="006125F4"/>
    <w:rsid w:val="00625ADC"/>
    <w:rsid w:val="00634F16"/>
    <w:rsid w:val="006604AC"/>
    <w:rsid w:val="0067262E"/>
    <w:rsid w:val="006917F5"/>
    <w:rsid w:val="0069595F"/>
    <w:rsid w:val="006A2C60"/>
    <w:rsid w:val="006A2DB8"/>
    <w:rsid w:val="006A4EB8"/>
    <w:rsid w:val="006B05F0"/>
    <w:rsid w:val="006B6746"/>
    <w:rsid w:val="006E141F"/>
    <w:rsid w:val="007146AE"/>
    <w:rsid w:val="007173E7"/>
    <w:rsid w:val="0073677D"/>
    <w:rsid w:val="007570D7"/>
    <w:rsid w:val="007C0A8A"/>
    <w:rsid w:val="007C22B7"/>
    <w:rsid w:val="007C6E1E"/>
    <w:rsid w:val="007C7364"/>
    <w:rsid w:val="007F6837"/>
    <w:rsid w:val="008007B7"/>
    <w:rsid w:val="00821AD5"/>
    <w:rsid w:val="0084201A"/>
    <w:rsid w:val="00847C22"/>
    <w:rsid w:val="00856757"/>
    <w:rsid w:val="00860736"/>
    <w:rsid w:val="00860C8E"/>
    <w:rsid w:val="0086119C"/>
    <w:rsid w:val="00863B53"/>
    <w:rsid w:val="008671FC"/>
    <w:rsid w:val="008817A8"/>
    <w:rsid w:val="00883532"/>
    <w:rsid w:val="00884A92"/>
    <w:rsid w:val="008928F4"/>
    <w:rsid w:val="008949EE"/>
    <w:rsid w:val="009262F6"/>
    <w:rsid w:val="0093059B"/>
    <w:rsid w:val="00951464"/>
    <w:rsid w:val="009729FB"/>
    <w:rsid w:val="00973AC1"/>
    <w:rsid w:val="0097778C"/>
    <w:rsid w:val="00992214"/>
    <w:rsid w:val="009965BB"/>
    <w:rsid w:val="009A2DD8"/>
    <w:rsid w:val="009A6754"/>
    <w:rsid w:val="009E630B"/>
    <w:rsid w:val="009F0133"/>
    <w:rsid w:val="00A234AB"/>
    <w:rsid w:val="00A442F2"/>
    <w:rsid w:val="00A47E36"/>
    <w:rsid w:val="00A736B4"/>
    <w:rsid w:val="00AA0BD5"/>
    <w:rsid w:val="00AB4E9C"/>
    <w:rsid w:val="00AB591F"/>
    <w:rsid w:val="00AD23BD"/>
    <w:rsid w:val="00AE422A"/>
    <w:rsid w:val="00AE450B"/>
    <w:rsid w:val="00AF66B8"/>
    <w:rsid w:val="00B05E3B"/>
    <w:rsid w:val="00B30791"/>
    <w:rsid w:val="00B42419"/>
    <w:rsid w:val="00B62573"/>
    <w:rsid w:val="00B67D06"/>
    <w:rsid w:val="00BC40B3"/>
    <w:rsid w:val="00BC5A3C"/>
    <w:rsid w:val="00BC7A76"/>
    <w:rsid w:val="00BE1CFB"/>
    <w:rsid w:val="00BE43E3"/>
    <w:rsid w:val="00BE66AD"/>
    <w:rsid w:val="00C34D3C"/>
    <w:rsid w:val="00C36C19"/>
    <w:rsid w:val="00C671E2"/>
    <w:rsid w:val="00C76F4B"/>
    <w:rsid w:val="00C8703E"/>
    <w:rsid w:val="00CB00D3"/>
    <w:rsid w:val="00CB1AC6"/>
    <w:rsid w:val="00CD3ABC"/>
    <w:rsid w:val="00CD5A1F"/>
    <w:rsid w:val="00CD70DA"/>
    <w:rsid w:val="00CE3E0A"/>
    <w:rsid w:val="00D01DC7"/>
    <w:rsid w:val="00D07D3E"/>
    <w:rsid w:val="00D1380A"/>
    <w:rsid w:val="00D30E89"/>
    <w:rsid w:val="00D35266"/>
    <w:rsid w:val="00D437AC"/>
    <w:rsid w:val="00D5485C"/>
    <w:rsid w:val="00DA087A"/>
    <w:rsid w:val="00DC21B6"/>
    <w:rsid w:val="00DC52CA"/>
    <w:rsid w:val="00DE382D"/>
    <w:rsid w:val="00DF3ED6"/>
    <w:rsid w:val="00E10FE1"/>
    <w:rsid w:val="00E274C3"/>
    <w:rsid w:val="00E45B07"/>
    <w:rsid w:val="00E81123"/>
    <w:rsid w:val="00E85BF8"/>
    <w:rsid w:val="00E90100"/>
    <w:rsid w:val="00EA0C99"/>
    <w:rsid w:val="00EE291D"/>
    <w:rsid w:val="00F0482F"/>
    <w:rsid w:val="00F11AC5"/>
    <w:rsid w:val="00F21012"/>
    <w:rsid w:val="00F31062"/>
    <w:rsid w:val="00F4333F"/>
    <w:rsid w:val="00F55E36"/>
    <w:rsid w:val="00F83F71"/>
    <w:rsid w:val="00FB13F0"/>
    <w:rsid w:val="00FD5921"/>
    <w:rsid w:val="00FD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CFE63"/>
  <w15:docId w15:val="{78DE50D7-89CF-4A02-BECA-6CD2F7E2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47E36"/>
    <w:pPr>
      <w:tabs>
        <w:tab w:val="center" w:pos="4320"/>
        <w:tab w:val="right" w:pos="8640"/>
      </w:tabs>
      <w:spacing w:after="0" w:line="240" w:lineRule="auto"/>
    </w:pPr>
  </w:style>
  <w:style w:type="character" w:customStyle="1" w:styleId="HeaderChar">
    <w:name w:val="Header Char"/>
    <w:basedOn w:val="DefaultParagraphFont"/>
    <w:link w:val="Header"/>
    <w:uiPriority w:val="99"/>
    <w:rsid w:val="00A47E36"/>
  </w:style>
  <w:style w:type="paragraph" w:styleId="Footer">
    <w:name w:val="footer"/>
    <w:basedOn w:val="Normal"/>
    <w:link w:val="FooterChar"/>
    <w:uiPriority w:val="99"/>
    <w:unhideWhenUsed/>
    <w:rsid w:val="00A47E36"/>
    <w:pPr>
      <w:tabs>
        <w:tab w:val="center" w:pos="4320"/>
        <w:tab w:val="right" w:pos="8640"/>
      </w:tabs>
      <w:spacing w:after="0" w:line="240" w:lineRule="auto"/>
    </w:pPr>
  </w:style>
  <w:style w:type="character" w:customStyle="1" w:styleId="FooterChar">
    <w:name w:val="Footer Char"/>
    <w:basedOn w:val="DefaultParagraphFont"/>
    <w:link w:val="Footer"/>
    <w:uiPriority w:val="99"/>
    <w:rsid w:val="00A47E36"/>
  </w:style>
  <w:style w:type="paragraph" w:styleId="Caption">
    <w:name w:val="caption"/>
    <w:basedOn w:val="Normal"/>
    <w:next w:val="Normal"/>
    <w:uiPriority w:val="35"/>
    <w:unhideWhenUsed/>
    <w:qFormat/>
    <w:rsid w:val="00A47E36"/>
    <w:pPr>
      <w:spacing w:after="200" w:line="240" w:lineRule="auto"/>
    </w:pPr>
    <w:rPr>
      <w:i/>
      <w:iCs/>
      <w:color w:val="1F497D" w:themeColor="text2"/>
      <w:sz w:val="18"/>
      <w:szCs w:val="18"/>
    </w:rPr>
  </w:style>
  <w:style w:type="paragraph" w:styleId="ListParagraph">
    <w:name w:val="List Paragraph"/>
    <w:basedOn w:val="Normal"/>
    <w:uiPriority w:val="34"/>
    <w:qFormat/>
    <w:rsid w:val="004E04CC"/>
    <w:pPr>
      <w:ind w:left="720"/>
      <w:contextualSpacing/>
    </w:pPr>
  </w:style>
  <w:style w:type="table" w:styleId="ListTable2-Accent2">
    <w:name w:val="List Table 2 Accent 2"/>
    <w:basedOn w:val="TableNormal"/>
    <w:uiPriority w:val="47"/>
    <w:rsid w:val="004E04CC"/>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2">
    <w:name w:val="Grid Table 2 Accent 2"/>
    <w:basedOn w:val="TableNormal"/>
    <w:uiPriority w:val="47"/>
    <w:rsid w:val="004E04CC"/>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Hyperlink">
    <w:name w:val="Hyperlink"/>
    <w:basedOn w:val="DefaultParagraphFont"/>
    <w:uiPriority w:val="99"/>
    <w:unhideWhenUsed/>
    <w:rsid w:val="000255A8"/>
    <w:rPr>
      <w:color w:val="0000FF" w:themeColor="hyperlink"/>
      <w:u w:val="single"/>
    </w:rPr>
  </w:style>
  <w:style w:type="character" w:styleId="UnresolvedMention">
    <w:name w:val="Unresolved Mention"/>
    <w:basedOn w:val="DefaultParagraphFont"/>
    <w:uiPriority w:val="99"/>
    <w:semiHidden/>
    <w:unhideWhenUsed/>
    <w:rsid w:val="000255A8"/>
    <w:rPr>
      <w:color w:val="605E5C"/>
      <w:shd w:val="clear" w:color="auto" w:fill="E1DFDD"/>
    </w:rPr>
  </w:style>
  <w:style w:type="character" w:styleId="CommentReference">
    <w:name w:val="annotation reference"/>
    <w:basedOn w:val="DefaultParagraphFont"/>
    <w:uiPriority w:val="99"/>
    <w:semiHidden/>
    <w:unhideWhenUsed/>
    <w:rsid w:val="000E0596"/>
    <w:rPr>
      <w:sz w:val="16"/>
      <w:szCs w:val="16"/>
    </w:rPr>
  </w:style>
  <w:style w:type="paragraph" w:styleId="CommentText">
    <w:name w:val="annotation text"/>
    <w:basedOn w:val="Normal"/>
    <w:link w:val="CommentTextChar"/>
    <w:uiPriority w:val="99"/>
    <w:semiHidden/>
    <w:unhideWhenUsed/>
    <w:rsid w:val="000E0596"/>
    <w:pPr>
      <w:spacing w:line="240" w:lineRule="auto"/>
    </w:pPr>
    <w:rPr>
      <w:sz w:val="20"/>
      <w:szCs w:val="20"/>
    </w:rPr>
  </w:style>
  <w:style w:type="character" w:customStyle="1" w:styleId="CommentTextChar">
    <w:name w:val="Comment Text Char"/>
    <w:basedOn w:val="DefaultParagraphFont"/>
    <w:link w:val="CommentText"/>
    <w:uiPriority w:val="99"/>
    <w:semiHidden/>
    <w:rsid w:val="000E0596"/>
    <w:rPr>
      <w:sz w:val="20"/>
      <w:szCs w:val="20"/>
    </w:rPr>
  </w:style>
  <w:style w:type="paragraph" w:styleId="CommentSubject">
    <w:name w:val="annotation subject"/>
    <w:basedOn w:val="CommentText"/>
    <w:next w:val="CommentText"/>
    <w:link w:val="CommentSubjectChar"/>
    <w:uiPriority w:val="99"/>
    <w:semiHidden/>
    <w:unhideWhenUsed/>
    <w:rsid w:val="000E0596"/>
    <w:rPr>
      <w:b/>
      <w:bCs/>
    </w:rPr>
  </w:style>
  <w:style w:type="character" w:customStyle="1" w:styleId="CommentSubjectChar">
    <w:name w:val="Comment Subject Char"/>
    <w:basedOn w:val="CommentTextChar"/>
    <w:link w:val="CommentSubject"/>
    <w:uiPriority w:val="99"/>
    <w:semiHidden/>
    <w:rsid w:val="000E0596"/>
    <w:rPr>
      <w:b/>
      <w:bCs/>
      <w:sz w:val="20"/>
      <w:szCs w:val="20"/>
    </w:rPr>
  </w:style>
  <w:style w:type="paragraph" w:styleId="BalloonText">
    <w:name w:val="Balloon Text"/>
    <w:basedOn w:val="Normal"/>
    <w:link w:val="BalloonTextChar"/>
    <w:uiPriority w:val="99"/>
    <w:semiHidden/>
    <w:unhideWhenUsed/>
    <w:rsid w:val="000E0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596"/>
    <w:rPr>
      <w:rFonts w:ascii="Segoe UI" w:hAnsi="Segoe UI" w:cs="Segoe UI"/>
      <w:sz w:val="18"/>
      <w:szCs w:val="18"/>
    </w:rPr>
  </w:style>
  <w:style w:type="paragraph" w:styleId="NormalWeb">
    <w:name w:val="Normal (Web)"/>
    <w:basedOn w:val="Normal"/>
    <w:uiPriority w:val="99"/>
    <w:unhideWhenUsed/>
    <w:rsid w:val="007570D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84A92"/>
    <w:rPr>
      <w:b/>
      <w:bCs/>
    </w:rPr>
  </w:style>
  <w:style w:type="character" w:customStyle="1" w:styleId="w">
    <w:name w:val="w"/>
    <w:basedOn w:val="DefaultParagraphFont"/>
    <w:rsid w:val="00884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88889">
      <w:bodyDiv w:val="1"/>
      <w:marLeft w:val="0"/>
      <w:marRight w:val="0"/>
      <w:marTop w:val="0"/>
      <w:marBottom w:val="0"/>
      <w:divBdr>
        <w:top w:val="none" w:sz="0" w:space="0" w:color="auto"/>
        <w:left w:val="none" w:sz="0" w:space="0" w:color="auto"/>
        <w:bottom w:val="none" w:sz="0" w:space="0" w:color="auto"/>
        <w:right w:val="none" w:sz="0" w:space="0" w:color="auto"/>
      </w:divBdr>
    </w:div>
    <w:div w:id="320280682">
      <w:bodyDiv w:val="1"/>
      <w:marLeft w:val="0"/>
      <w:marRight w:val="0"/>
      <w:marTop w:val="0"/>
      <w:marBottom w:val="0"/>
      <w:divBdr>
        <w:top w:val="none" w:sz="0" w:space="0" w:color="auto"/>
        <w:left w:val="none" w:sz="0" w:space="0" w:color="auto"/>
        <w:bottom w:val="none" w:sz="0" w:space="0" w:color="auto"/>
        <w:right w:val="none" w:sz="0" w:space="0" w:color="auto"/>
      </w:divBdr>
    </w:div>
    <w:div w:id="628977816">
      <w:bodyDiv w:val="1"/>
      <w:marLeft w:val="0"/>
      <w:marRight w:val="0"/>
      <w:marTop w:val="0"/>
      <w:marBottom w:val="0"/>
      <w:divBdr>
        <w:top w:val="none" w:sz="0" w:space="0" w:color="auto"/>
        <w:left w:val="none" w:sz="0" w:space="0" w:color="auto"/>
        <w:bottom w:val="none" w:sz="0" w:space="0" w:color="auto"/>
        <w:right w:val="none" w:sz="0" w:space="0" w:color="auto"/>
      </w:divBdr>
    </w:div>
    <w:div w:id="798718578">
      <w:bodyDiv w:val="1"/>
      <w:marLeft w:val="0"/>
      <w:marRight w:val="0"/>
      <w:marTop w:val="0"/>
      <w:marBottom w:val="0"/>
      <w:divBdr>
        <w:top w:val="none" w:sz="0" w:space="0" w:color="auto"/>
        <w:left w:val="none" w:sz="0" w:space="0" w:color="auto"/>
        <w:bottom w:val="none" w:sz="0" w:space="0" w:color="auto"/>
        <w:right w:val="none" w:sz="0" w:space="0" w:color="auto"/>
      </w:divBdr>
    </w:div>
    <w:div w:id="843320950">
      <w:bodyDiv w:val="1"/>
      <w:marLeft w:val="0"/>
      <w:marRight w:val="0"/>
      <w:marTop w:val="0"/>
      <w:marBottom w:val="0"/>
      <w:divBdr>
        <w:top w:val="none" w:sz="0" w:space="0" w:color="auto"/>
        <w:left w:val="none" w:sz="0" w:space="0" w:color="auto"/>
        <w:bottom w:val="none" w:sz="0" w:space="0" w:color="auto"/>
        <w:right w:val="none" w:sz="0" w:space="0" w:color="auto"/>
      </w:divBdr>
    </w:div>
    <w:div w:id="855190001">
      <w:bodyDiv w:val="1"/>
      <w:marLeft w:val="0"/>
      <w:marRight w:val="0"/>
      <w:marTop w:val="0"/>
      <w:marBottom w:val="0"/>
      <w:divBdr>
        <w:top w:val="none" w:sz="0" w:space="0" w:color="auto"/>
        <w:left w:val="none" w:sz="0" w:space="0" w:color="auto"/>
        <w:bottom w:val="none" w:sz="0" w:space="0" w:color="auto"/>
        <w:right w:val="none" w:sz="0" w:space="0" w:color="auto"/>
      </w:divBdr>
    </w:div>
    <w:div w:id="985476872">
      <w:bodyDiv w:val="1"/>
      <w:marLeft w:val="0"/>
      <w:marRight w:val="0"/>
      <w:marTop w:val="0"/>
      <w:marBottom w:val="0"/>
      <w:divBdr>
        <w:top w:val="none" w:sz="0" w:space="0" w:color="auto"/>
        <w:left w:val="none" w:sz="0" w:space="0" w:color="auto"/>
        <w:bottom w:val="none" w:sz="0" w:space="0" w:color="auto"/>
        <w:right w:val="none" w:sz="0" w:space="0" w:color="auto"/>
      </w:divBdr>
    </w:div>
    <w:div w:id="135916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kc.gov.lv/sites/default/files/images-legacy/pkc_rokasgramata_090316_web.pdf" TargetMode="External"/><Relationship Id="rId18" Type="http://schemas.openxmlformats.org/officeDocument/2006/relationships/hyperlink" Target="https://en.wikipedia.org/wiki/Albert-L%C3%A1szl%C3%B3_Barab%C3%A1si"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3platform.jrc.ec.europa.eu/what-is-smart-specialisation-" TargetMode="External"/><Relationship Id="rId17" Type="http://schemas.openxmlformats.org/officeDocument/2006/relationships/hyperlink" Target="https://en.wikipedia.org/wiki/Ricardo_Hausmann" TargetMode="External"/><Relationship Id="rId2" Type="http://schemas.openxmlformats.org/officeDocument/2006/relationships/customXml" Target="../customXml/item2.xml"/><Relationship Id="rId16" Type="http://schemas.openxmlformats.org/officeDocument/2006/relationships/hyperlink" Target="https://en.wikipedia.org/wiki/Cesar_A._Hidalgo"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n.wikipedia.org/wiki/Science_(journa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tube.com/watch?v=HLK_xE2P_XI"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8a5323c-72ac-4ab4-a9cd-9c3fb0b52b19">FT4M3ZN43RRY-842142657-225</_dlc_DocId>
    <_dlc_DocIdUrl xmlns="58a5323c-72ac-4ab4-a9cd-9c3fb0b52b19">
      <Url>https://fidea.sharepoint.com/projects/VAS_RIS3/_layouts/15/DocIdRedir.aspx?ID=FT4M3ZN43RRY-842142657-225</Url>
      <Description>FT4M3ZN43RRY-842142657-225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A6F0FD01BB9F724D99A1EE6051735FB9" ma:contentTypeVersion="2" ma:contentTypeDescription="Izveidot jaunu dokumentu." ma:contentTypeScope="" ma:versionID="c0cbfeaa4815b08dd613eb4af07748e4">
  <xsd:schema xmlns:xsd="http://www.w3.org/2001/XMLSchema" xmlns:xs="http://www.w3.org/2001/XMLSchema" xmlns:p="http://schemas.microsoft.com/office/2006/metadata/properties" xmlns:ns2="58a5323c-72ac-4ab4-a9cd-9c3fb0b52b19" xmlns:ns3="4910ea37-ae20-40cd-bc53-a341dfd8a0fa" targetNamespace="http://schemas.microsoft.com/office/2006/metadata/properties" ma:root="true" ma:fieldsID="f41f3d6be1bd332e88feca1927252101" ns2:_="" ns3:_="">
    <xsd:import namespace="58a5323c-72ac-4ab4-a9cd-9c3fb0b52b19"/>
    <xsd:import namespace="4910ea37-ae20-40cd-bc53-a341dfd8a0f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5323c-72ac-4ab4-a9cd-9c3fb0b52b19" elementFormDefault="qualified">
    <xsd:import namespace="http://schemas.microsoft.com/office/2006/documentManagement/types"/>
    <xsd:import namespace="http://schemas.microsoft.com/office/infopath/2007/PartnerControls"/>
    <xsd:element name="_dlc_DocId" ma:index="8" nillable="true" ma:displayName="Dokumenta ID vērtība" ma:description="Šim vienumam piešķirtā dokumenta ID vērtība." ma:internalName="_dlc_DocId" ma:readOnly="true">
      <xsd:simpleType>
        <xsd:restriction base="dms:Text"/>
      </xsd:simpleType>
    </xsd:element>
    <xsd:element name="_dlc_DocIdUrl" ma:index="9"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910ea37-ae20-40cd-bc53-a341dfd8a0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AEE11-29FA-42F6-AEDA-F21F975C2931}">
  <ds:schemaRefs>
    <ds:schemaRef ds:uri="http://schemas.microsoft.com/office/2006/metadata/properties"/>
    <ds:schemaRef ds:uri="http://schemas.microsoft.com/office/infopath/2007/PartnerControls"/>
    <ds:schemaRef ds:uri="58a5323c-72ac-4ab4-a9cd-9c3fb0b52b19"/>
  </ds:schemaRefs>
</ds:datastoreItem>
</file>

<file path=customXml/itemProps2.xml><?xml version="1.0" encoding="utf-8"?>
<ds:datastoreItem xmlns:ds="http://schemas.openxmlformats.org/officeDocument/2006/customXml" ds:itemID="{AF8AF28D-BCEF-4925-A91C-C14A326C2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5323c-72ac-4ab4-a9cd-9c3fb0b52b19"/>
    <ds:schemaRef ds:uri="4910ea37-ae20-40cd-bc53-a341dfd8a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6CD66A-676D-4421-B6F5-AEE647CA1003}">
  <ds:schemaRefs>
    <ds:schemaRef ds:uri="http://schemas.microsoft.com/sharepoint/events"/>
  </ds:schemaRefs>
</ds:datastoreItem>
</file>

<file path=customXml/itemProps4.xml><?xml version="1.0" encoding="utf-8"?>
<ds:datastoreItem xmlns:ds="http://schemas.openxmlformats.org/officeDocument/2006/customXml" ds:itemID="{90C254F6-B87B-465E-8971-407F7903FE50}">
  <ds:schemaRefs>
    <ds:schemaRef ds:uri="http://schemas.microsoft.com/sharepoint/v3/contenttype/forms"/>
  </ds:schemaRefs>
</ds:datastoreItem>
</file>

<file path=customXml/itemProps5.xml><?xml version="1.0" encoding="utf-8"?>
<ds:datastoreItem xmlns:ds="http://schemas.openxmlformats.org/officeDocument/2006/customXml" ds:itemID="{DCEAAB4B-C1F1-42AC-A204-52148C81C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8</Pages>
  <Words>13349</Words>
  <Characters>7609</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Eva Einmane</cp:lastModifiedBy>
  <cp:revision>165</cp:revision>
  <dcterms:created xsi:type="dcterms:W3CDTF">2018-09-27T17:16:00Z</dcterms:created>
  <dcterms:modified xsi:type="dcterms:W3CDTF">2018-11-14T10:14:00Z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0x010100A6F0FD01BB9F724D99A1EE6051735FB9</vt:lpwstr>
  </property>
  <property fmtid="{D5CDD505-2E9C-101B-9397-08002B2CF9AE}" pid="3" name="_dlc_DocIdItemGuid">
    <vt:lpwstr>0849f5c7-0587-46fa-9251-3afbe0f6e721</vt:lpwstr>
  </property>
</Properties>
</file>